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bCs/>
          <w:color w:val="auto"/>
          <w:sz w:val="24"/>
          <w:szCs w:val="24"/>
          <w:highlight w:val="white"/>
        </w:rPr>
      </w:pPr>
      <w:r>
        <w:rPr>
          <w:bCs/>
          <w:color w:val="auto"/>
          <w:sz w:val="24"/>
          <w:szCs w:val="24"/>
          <w:highlight w:val="white"/>
        </w:rPr>
      </w:r>
      <w:r>
        <w:rPr>
          <w:bCs/>
          <w:color w:val="auto"/>
          <w:sz w:val="24"/>
          <w:szCs w:val="24"/>
          <w:highlight w:val="white"/>
        </w:rPr>
      </w:r>
      <w:r>
        <w:rPr>
          <w:bCs/>
          <w:color w:val="auto"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sz w:val="26"/>
          <w:szCs w:val="26"/>
          <w:highlight w:val="white"/>
        </w:rPr>
      </w:pP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  <w:r>
        <w:rPr>
          <w:rFonts w:eastAsia="Calibri"/>
          <w:b/>
          <w:color w:val="auto"/>
          <w:sz w:val="26"/>
          <w:szCs w:val="26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highlight w:val="white"/>
        </w:rPr>
      </w:pPr>
      <w:r>
        <w:rPr>
          <w:rFonts w:eastAsia="Calibri"/>
          <w:b/>
          <w:color w:val="auto"/>
          <w:highlight w:val="white"/>
        </w:rPr>
        <w:t xml:space="preserve">Технические требования на выполнение </w:t>
      </w:r>
      <w:r>
        <w:rPr>
          <w:rFonts w:eastAsia="Calibri"/>
          <w:b/>
          <w:color w:val="auto"/>
          <w:highlight w:val="white"/>
        </w:rPr>
        <w:t xml:space="preserve">работ</w:t>
      </w:r>
      <w:r>
        <w:rPr>
          <w:rFonts w:eastAsia="Calibri"/>
          <w:b/>
          <w:color w:val="auto"/>
          <w:highlight w:val="white"/>
        </w:rPr>
      </w:r>
      <w:r>
        <w:rPr>
          <w:rFonts w:eastAsia="Calibri"/>
          <w:b/>
          <w:color w:val="auto"/>
          <w:highlight w:val="white"/>
        </w:rPr>
      </w:r>
    </w:p>
    <w:p>
      <w:pPr>
        <w:jc w:val="center"/>
        <w:keepLines/>
        <w:keepNext/>
        <w:rPr>
          <w:rFonts w:eastAsia="Calibri"/>
          <w:b/>
          <w:color w:val="auto"/>
          <w:highlight w:val="white"/>
        </w:rPr>
      </w:pPr>
      <w:r>
        <w:rPr>
          <w:rFonts w:eastAsia="Calibri"/>
          <w:b/>
          <w:color w:val="auto"/>
          <w:highlight w:val="white"/>
        </w:rPr>
      </w:r>
      <w:r>
        <w:rPr>
          <w:rFonts w:eastAsia="Calibri"/>
          <w:b/>
          <w:color w:val="auto"/>
          <w:highlight w:val="white"/>
        </w:rPr>
      </w:r>
      <w:r>
        <w:rPr>
          <w:rFonts w:eastAsia="Calibri"/>
          <w:b/>
          <w:color w:val="auto"/>
          <w:highlight w:val="white"/>
        </w:rPr>
      </w:r>
    </w:p>
    <w:p>
      <w:pPr>
        <w:jc w:val="center"/>
        <w:keepLines/>
        <w:keepNext/>
        <w:rPr>
          <w:rFonts w:eastAsia="Calibri"/>
          <w:b/>
          <w:bCs/>
          <w:color w:val="auto"/>
          <w:highlight w:val="white"/>
        </w:rPr>
      </w:pPr>
      <w:r>
        <w:rPr>
          <w:rFonts w:eastAsia="Calibri"/>
          <w:b/>
          <w:color w:val="auto"/>
          <w:highlight w:val="white"/>
        </w:rPr>
      </w:r>
      <w:r>
        <w:rPr>
          <w:rFonts w:eastAsia="Calibri"/>
          <w:b/>
          <w:color w:val="auto"/>
          <w:highlight w:val="white"/>
        </w:rPr>
        <w:t xml:space="preserve">О</w:t>
      </w:r>
      <w:r>
        <w:rPr>
          <w:rFonts w:eastAsia="Calibri"/>
          <w:b/>
          <w:color w:val="auto"/>
          <w:highlight w:val="white"/>
        </w:rPr>
        <w:t xml:space="preserve">КПД 2 43.99.90 Выполнение строительно-монтажных работ (включая поставку материалов и оборудования) по техперевооружению комплекса инженерно-технических средств физической защиты СП Комсомольская ТЭЦ-3, водогрейная котельная Дземги в рамках инвестиционного </w:t>
      </w:r>
      <w:r>
        <w:rPr>
          <w:rFonts w:eastAsia="Calibri"/>
          <w:b/>
          <w:color w:val="auto"/>
          <w:highlight w:val="white"/>
        </w:rPr>
        <w:t xml:space="preserve">проекта F_505-ХГ-25, г. Комсомольск-на Амуре</w:t>
      </w:r>
      <w:r>
        <w:rPr>
          <w:rFonts w:eastAsia="Calibri"/>
          <w:b/>
          <w:bCs/>
          <w:color w:val="auto"/>
          <w:highlight w:val="white"/>
        </w:rPr>
      </w:r>
      <w:r>
        <w:rPr>
          <w:rFonts w:eastAsia="Calibri"/>
          <w:b/>
          <w:bCs/>
          <w:color w:val="auto"/>
          <w:highlight w:val="white"/>
        </w:rPr>
      </w:r>
    </w:p>
    <w:p>
      <w:pPr>
        <w:jc w:val="center"/>
        <w:keepLines/>
        <w:keepNext/>
        <w:rPr>
          <w:rFonts w:eastAsia="Calibri"/>
          <w:b/>
          <w:bCs/>
          <w:color w:val="auto"/>
          <w:highlight w:val="white"/>
        </w:rPr>
      </w:pPr>
      <w:r>
        <w:rPr>
          <w:rFonts w:eastAsia="Calibri"/>
          <w:b/>
          <w:bCs/>
          <w:color w:val="auto"/>
          <w:highlight w:val="white"/>
        </w:rPr>
      </w:r>
      <w:r>
        <w:rPr>
          <w:rFonts w:eastAsia="Calibri"/>
          <w:b/>
          <w:bCs/>
          <w:color w:val="auto"/>
          <w:highlight w:val="white"/>
        </w:rPr>
      </w:r>
      <w:r>
        <w:rPr>
          <w:rFonts w:eastAsia="Calibri"/>
          <w:b/>
          <w:bCs/>
          <w:color w:val="auto"/>
          <w:highlight w:val="white"/>
        </w:rPr>
      </w:r>
    </w:p>
    <w:p>
      <w:pPr>
        <w:jc w:val="center"/>
        <w:keepLines/>
        <w:keepNext/>
        <w:rPr>
          <w:rFonts w:eastAsia="Calibri"/>
          <w:b/>
          <w:bCs/>
          <w:color w:val="auto"/>
          <w:highlight w:val="white"/>
        </w:rPr>
      </w:pPr>
      <w:r>
        <w:rPr>
          <w:b/>
          <w:color w:val="auto"/>
          <w:highlight w:val="white"/>
        </w:rPr>
        <w:t xml:space="preserve">Лот № </w:t>
      </w:r>
      <w:r>
        <w:rPr>
          <w:b/>
          <w:color w:val="auto"/>
          <w:highlight w:val="white"/>
        </w:rPr>
        <w:t xml:space="preserve">22130004-ТПИР ОБСЛ-2026-ДГК-КТЭЦ3</w:t>
      </w:r>
      <w:r>
        <w:rPr>
          <w:rFonts w:eastAsia="Calibri"/>
          <w:b/>
          <w:bCs/>
          <w:color w:val="auto"/>
          <w:highlight w:val="white"/>
        </w:rPr>
      </w:r>
      <w:r>
        <w:rPr>
          <w:rFonts w:eastAsia="Calibri"/>
          <w:b/>
          <w:bCs/>
          <w:color w:val="auto"/>
          <w:highlight w:val="white"/>
        </w:rPr>
      </w:r>
    </w:p>
    <w:p>
      <w:pPr>
        <w:jc w:val="center"/>
        <w:keepLines/>
        <w:keepNext/>
        <w:rPr>
          <w:rFonts w:eastAsia="Calibri"/>
          <w:color w:val="auto"/>
          <w:highlight w:val="white"/>
        </w:rPr>
      </w:pPr>
      <w:r>
        <w:rPr>
          <w:rFonts w:eastAsia="Calibri"/>
          <w:color w:val="auto"/>
          <w:highlight w:val="white"/>
        </w:rPr>
      </w:r>
      <w:r>
        <w:rPr>
          <w:rFonts w:eastAsia="Calibri"/>
          <w:color w:val="auto"/>
          <w:highlight w:val="white"/>
        </w:rPr>
      </w:r>
      <w:r>
        <w:rPr>
          <w:rFonts w:eastAsia="Calibri"/>
          <w:color w:val="auto"/>
          <w:highlight w:val="white"/>
        </w:rPr>
      </w:r>
    </w:p>
    <w:p>
      <w:pPr>
        <w:keepLines/>
        <w:keepNext/>
        <w:rPr>
          <w:rFonts w:eastAsia="Calibri"/>
          <w:color w:val="auto"/>
          <w:sz w:val="24"/>
          <w:szCs w:val="24"/>
          <w:highlight w:val="white"/>
        </w:rPr>
      </w:pPr>
      <w:r>
        <w:rPr>
          <w:rFonts w:eastAsia="Calibri"/>
          <w:color w:val="auto"/>
          <w:sz w:val="24"/>
          <w:szCs w:val="24"/>
          <w:highlight w:val="white"/>
        </w:rPr>
        <w:br w:type="page" w:clear="all"/>
      </w:r>
      <w:r>
        <w:rPr>
          <w:rFonts w:eastAsia="Calibri"/>
          <w:color w:val="auto"/>
          <w:sz w:val="24"/>
          <w:szCs w:val="24"/>
          <w:highlight w:val="white"/>
        </w:rPr>
      </w:r>
      <w:r>
        <w:rPr>
          <w:rFonts w:eastAsia="Calibri"/>
          <w:color w:val="auto"/>
          <w:sz w:val="24"/>
          <w:szCs w:val="24"/>
          <w:highlight w:val="white"/>
        </w:rPr>
      </w:r>
    </w:p>
    <w:p>
      <w:pPr>
        <w:jc w:val="right"/>
        <w:keepLines/>
        <w:keepNext/>
        <w:rPr>
          <w:b/>
          <w:bCs/>
          <w:color w:val="auto"/>
          <w:sz w:val="26"/>
          <w:szCs w:val="26"/>
          <w:highlight w:val="white"/>
        </w:rPr>
      </w:pPr>
      <w:r>
        <w:rPr>
          <w:b/>
          <w:bCs/>
          <w:color w:val="auto"/>
          <w:sz w:val="26"/>
          <w:szCs w:val="26"/>
          <w:highlight w:val="white"/>
        </w:rPr>
      </w:r>
      <w:r>
        <w:rPr>
          <w:b/>
          <w:bCs/>
          <w:color w:val="auto"/>
          <w:sz w:val="26"/>
          <w:szCs w:val="26"/>
          <w:highlight w:val="white"/>
        </w:rPr>
      </w:r>
      <w:r>
        <w:rPr>
          <w:b/>
          <w:bCs/>
          <w:color w:val="auto"/>
          <w:sz w:val="26"/>
          <w:szCs w:val="26"/>
          <w:highlight w:val="white"/>
        </w:rPr>
      </w:r>
    </w:p>
    <w:p>
      <w:pPr>
        <w:jc w:val="center"/>
        <w:rPr>
          <w:b/>
          <w:color w:val="auto"/>
          <w:highlight w:val="white"/>
        </w:rPr>
      </w:pPr>
      <w:r>
        <w:rPr>
          <w:b/>
          <w:color w:val="auto"/>
          <w:highlight w:val="white"/>
        </w:rPr>
        <w:t xml:space="preserve">СОДЕРЖАНИЕ</w:t>
      </w:r>
      <w:r>
        <w:rPr>
          <w:b/>
          <w:color w:val="auto"/>
          <w:highlight w:val="white"/>
        </w:rPr>
      </w:r>
      <w:r>
        <w:rPr>
          <w:b/>
          <w:color w:val="auto"/>
          <w:highlight w:val="white"/>
        </w:rPr>
      </w:r>
    </w:p>
    <w:p>
      <w:pPr>
        <w:pStyle w:val="932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rFonts w:cstheme="majorHAnsi"/>
          <w:b w:val="0"/>
          <w:i/>
          <w:color w:val="auto"/>
          <w:highlight w:val="white"/>
        </w:rPr>
        <w:fldChar w:fldCharType="begin"/>
      </w:r>
      <w:r>
        <w:rPr>
          <w:rFonts w:cstheme="majorHAnsi"/>
          <w:b w:val="0"/>
          <w:i/>
          <w:color w:val="auto"/>
          <w:highlight w:val="white"/>
        </w:rPr>
        <w:instrText xml:space="preserve"> TOC \o "1-4" \h \z \u </w:instrText>
      </w:r>
      <w:r>
        <w:rPr>
          <w:rFonts w:cstheme="majorHAnsi"/>
          <w:b w:val="0"/>
          <w:i/>
          <w:color w:val="auto"/>
          <w:highlight w:val="white"/>
        </w:rPr>
        <w:fldChar w:fldCharType="separate"/>
      </w:r>
      <w:hyperlink w:tooltip="#_Toc54646395" w:anchor="_Toc54646395" w:history="1">
        <w:r>
          <w:rPr>
            <w:rStyle w:val="934"/>
            <w:color w:val="auto"/>
            <w:highlight w:val="white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color w:val="auto"/>
            <w:highlight w:val="white"/>
          </w:rPr>
          <w:tab/>
        </w:r>
        <w:r>
          <w:rPr>
            <w:rStyle w:val="934"/>
            <w:color w:val="auto"/>
            <w:highlight w:val="white"/>
          </w:rPr>
          <w:t xml:space="preserve">Общие сведения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_Toc54646395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4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45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396" w:anchor="_Toc54646396" w:history="1">
        <w:r>
          <w:rPr>
            <w:rStyle w:val="934"/>
            <w:iCs/>
            <w:color w:val="auto"/>
            <w:highlight w:val="white"/>
          </w:rPr>
          <w:t xml:space="preserve">1.1.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4"/>
            <w:color w:val="auto"/>
            <w:highlight w:val="white"/>
          </w:rPr>
          <w:t xml:space="preserve">Обозначения и сокращения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_Toc54646396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4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45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397" w:anchor="_Toc54646397" w:history="1">
        <w:r>
          <w:rPr>
            <w:rStyle w:val="934"/>
            <w:iCs/>
            <w:color w:val="auto"/>
            <w:highlight w:val="white"/>
          </w:rPr>
          <w:t xml:space="preserve">1.2.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4"/>
            <w:color w:val="auto"/>
            <w:highlight w:val="white"/>
          </w:rPr>
          <w:t xml:space="preserve">Наименование закупаемой продукции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_Toc54646397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4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45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398" w:anchor="_Toc54646398" w:history="1">
        <w:r>
          <w:rPr>
            <w:rStyle w:val="934"/>
            <w:iCs/>
            <w:color w:val="auto"/>
            <w:highlight w:val="white"/>
          </w:rPr>
          <w:t xml:space="preserve">1.3.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4"/>
            <w:color w:val="auto"/>
            <w:highlight w:val="white"/>
          </w:rPr>
          <w:t xml:space="preserve">Цель выполнения работ 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_Toc54646398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4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45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399" w:anchor="_Toc54646399" w:history="1">
        <w:r>
          <w:rPr>
            <w:rStyle w:val="934"/>
            <w:iCs/>
            <w:color w:val="auto"/>
            <w:highlight w:val="white"/>
          </w:rPr>
          <w:t xml:space="preserve">1.4.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4"/>
            <w:color w:val="auto"/>
            <w:highlight w:val="white"/>
          </w:rPr>
          <w:t xml:space="preserve">Существующее положение 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_Toc54646399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4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32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00" w:anchor="_Toc54646400" w:history="1">
        <w:r>
          <w:rPr>
            <w:rStyle w:val="934"/>
            <w:color w:val="auto"/>
            <w:highlight w:val="white"/>
          </w:rPr>
          <w:t xml:space="preserve">Таблица 1. Перечень объектов заказчика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_Toc54646400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5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32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03" w:anchor="_Toc54646403" w:history="1">
        <w:r>
          <w:rPr>
            <w:rStyle w:val="934"/>
            <w:color w:val="auto"/>
            <w:highlight w:val="white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color w:val="auto"/>
            <w:highlight w:val="white"/>
          </w:rPr>
          <w:tab/>
        </w:r>
        <w:r>
          <w:rPr>
            <w:rStyle w:val="934"/>
            <w:iCs/>
            <w:color w:val="auto"/>
            <w:highlight w:val="white"/>
          </w:rPr>
          <w:t xml:space="preserve">Требования к продукции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_Toc54646403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5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45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404" w:anchor="_Toc54646404" w:history="1">
        <w:r>
          <w:rPr>
            <w:rStyle w:val="934"/>
            <w:iCs/>
            <w:color w:val="auto"/>
            <w:highlight w:val="white"/>
          </w:rPr>
          <w:t xml:space="preserve">2.1.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4"/>
            <w:color w:val="auto"/>
            <w:highlight w:val="white"/>
          </w:rPr>
          <w:t xml:space="preserve">Требования к объемам и срокам выполнения работ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_Toc54646404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5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405" w:anchor="_Toc54646405" w:history="1">
        <w:r>
          <w:rPr>
            <w:rStyle w:val="934"/>
            <w:color w:val="auto"/>
            <w:highlight w:val="white"/>
          </w:rPr>
          <w:t xml:space="preserve">2.1.1.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4"/>
            <w:color w:val="auto"/>
            <w:highlight w:val="white"/>
          </w:rPr>
          <w:t xml:space="preserve">Требования к видам и объемам работ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_Toc54646405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5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32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06" w:anchor="_Toc54646406" w:history="1">
        <w:r>
          <w:rPr>
            <w:rStyle w:val="934"/>
            <w:color w:val="auto"/>
            <w:highlight w:val="white"/>
          </w:rPr>
          <w:t xml:space="preserve">Таблица 2. Перечень и объем выполняемых работ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_Toc54646406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5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407" w:anchor="_Toc54646407" w:history="1">
        <w:r>
          <w:rPr>
            <w:rStyle w:val="934"/>
            <w:color w:val="auto"/>
            <w:highlight w:val="white"/>
          </w:rPr>
          <w:t xml:space="preserve">2.1.2.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4"/>
            <w:color w:val="auto"/>
            <w:highlight w:val="white"/>
          </w:rPr>
          <w:t xml:space="preserve">Требования к срокам выполнения работ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_Toc54646407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6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32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08" w:anchor="_Toc54646408" w:history="1">
        <w:r>
          <w:rPr>
            <w:rStyle w:val="934"/>
            <w:color w:val="auto"/>
            <w:highlight w:val="white"/>
          </w:rPr>
          <w:t xml:space="preserve">Таблица 3. Требования по срокам выполнения работ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_Toc54646408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6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45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hyperlink w:tooltip="#_Toc54646409" w:anchor="_Toc54646409" w:history="1">
        <w:r>
          <w:rPr>
            <w:rStyle w:val="934"/>
            <w:iCs/>
            <w:color w:val="auto"/>
            <w:highlight w:val="white"/>
          </w:rPr>
          <w:t xml:space="preserve">2.2.</w:t>
        </w:r>
        <w:r>
          <w:rPr>
            <w:rFonts w:asciiTheme="minorHAnsi" w:hAnsiTheme="minorHAnsi" w:eastAsiaTheme="minorEastAsia" w:cstheme="minorBidi"/>
            <w:color w:val="auto"/>
            <w:sz w:val="24"/>
            <w:szCs w:val="24"/>
            <w:highlight w:val="white"/>
          </w:rPr>
          <w:tab/>
        </w:r>
        <w:r>
          <w:rPr>
            <w:rStyle w:val="934"/>
            <w:color w:val="auto"/>
            <w:highlight w:val="white"/>
          </w:rPr>
          <w:t xml:space="preserve">Требования к качеству работ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_Toc54646409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8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color w:val="auto"/>
          <w:sz w:val="24"/>
          <w:szCs w:val="24"/>
          <w:highlight w:val="white"/>
        </w:rPr>
      </w:r>
    </w:p>
    <w:p>
      <w:pPr>
        <w:pStyle w:val="932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10" w:anchor="_Toc54646410" w:history="1">
        <w:r>
          <w:rPr>
            <w:rStyle w:val="934"/>
            <w:color w:val="auto"/>
            <w:highlight w:val="white"/>
          </w:rPr>
          <w:t xml:space="preserve">Таблица 4. Требования к качеству работ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_Toc54646410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8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32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11" w:anchor="_Toc54646411" w:history="1">
        <w:r>
          <w:rPr>
            <w:rStyle w:val="934"/>
            <w:color w:val="auto"/>
            <w:highlight w:val="white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  <w:color w:val="auto"/>
            <w:highlight w:val="white"/>
          </w:rPr>
          <w:tab/>
        </w:r>
        <w:r>
          <w:rPr>
            <w:rStyle w:val="934"/>
            <w:color w:val="auto"/>
            <w:highlight w:val="white"/>
          </w:rPr>
          <w:t xml:space="preserve">Требования к документации по ценообразованию на этапе закупки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_Toc54646411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16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32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12" w:anchor="_Toc54646412" w:history="1">
        <w:r>
          <w:rPr>
            <w:rStyle w:val="934"/>
            <w:color w:val="auto"/>
            <w:highlight w:val="white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  <w:color w:val="auto"/>
            <w:highlight w:val="white"/>
          </w:rPr>
          <w:tab/>
        </w:r>
        <w:r>
          <w:rPr>
            <w:rStyle w:val="934"/>
            <w:color w:val="auto"/>
            <w:highlight w:val="white"/>
          </w:rPr>
          <w:t xml:space="preserve">Требования к документации по ценообразованию на этапе заключения (исполнения) договора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_Toc54646412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16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932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pPr>
      <w:r>
        <w:rPr>
          <w:color w:val="auto"/>
          <w:highlight w:val="white"/>
        </w:rPr>
      </w:r>
      <w:hyperlink w:tooltip="#_Toc54646413" w:anchor="_Toc54646413" w:history="1">
        <w:r>
          <w:rPr>
            <w:rStyle w:val="934"/>
            <w:color w:val="auto"/>
            <w:highlight w:val="white"/>
          </w:rPr>
          <w:t xml:space="preserve">5.</w:t>
        </w:r>
        <w:r>
          <w:rPr>
            <w:rFonts w:asciiTheme="minorHAnsi" w:hAnsiTheme="minorHAnsi" w:eastAsiaTheme="minorEastAsia" w:cstheme="minorBidi"/>
            <w:b w:val="0"/>
            <w:bCs w:val="0"/>
            <w:color w:val="auto"/>
            <w:highlight w:val="white"/>
          </w:rPr>
          <w:tab/>
        </w:r>
        <w:r>
          <w:rPr>
            <w:rStyle w:val="934"/>
            <w:iCs/>
            <w:color w:val="auto"/>
            <w:highlight w:val="white"/>
          </w:rPr>
          <w:t xml:space="preserve">Приложения</w:t>
        </w:r>
        <w:r>
          <w:rPr>
            <w:color w:val="auto"/>
            <w:highlight w:val="white"/>
          </w:rPr>
          <w:tab/>
        </w:r>
        <w:r>
          <w:rPr>
            <w:color w:val="auto"/>
            <w:highlight w:val="white"/>
          </w:rPr>
          <w:fldChar w:fldCharType="begin"/>
        </w:r>
        <w:r>
          <w:rPr>
            <w:color w:val="auto"/>
            <w:highlight w:val="white"/>
          </w:rPr>
          <w:instrText xml:space="preserve"> PAGEREF _Toc54646413 \h </w:instrText>
        </w:r>
        <w:r>
          <w:rPr>
            <w:color w:val="auto"/>
            <w:highlight w:val="white"/>
          </w:rPr>
          <w:fldChar w:fldCharType="separate"/>
        </w:r>
        <w:r>
          <w:rPr>
            <w:color w:val="auto"/>
            <w:highlight w:val="white"/>
          </w:rPr>
          <w:t xml:space="preserve">16</w:t>
        </w:r>
        <w:r>
          <w:rPr>
            <w:color w:val="auto"/>
            <w:highlight w:val="whit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color w:val="auto"/>
          <w:highlight w:val="white"/>
        </w:rPr>
      </w:r>
    </w:p>
    <w:p>
      <w:pPr>
        <w:pStyle w:val="754"/>
        <w:numPr>
          <w:ilvl w:val="0"/>
          <w:numId w:val="0"/>
        </w:numPr>
        <w:rPr>
          <w:color w:val="auto"/>
          <w:highlight w:val="white"/>
        </w:rPr>
      </w:pPr>
      <w:r>
        <w:rPr>
          <w:color w:val="auto"/>
          <w:highlight w:val="white"/>
        </w:rPr>
        <w:fldChar w:fldCharType="end"/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color w:val="auto"/>
          <w:sz w:val="24"/>
          <w:szCs w:val="24"/>
          <w:highlight w:val="white"/>
        </w:rPr>
      </w:pPr>
      <w:r>
        <w:rPr>
          <w:rFonts w:eastAsia="Calibri"/>
          <w:b/>
          <w:i/>
          <w:color w:val="auto"/>
          <w:sz w:val="24"/>
          <w:szCs w:val="24"/>
          <w:highlight w:val="white"/>
        </w:rPr>
        <w:br w:type="page" w:clear="all"/>
      </w:r>
      <w:r>
        <w:rPr>
          <w:rFonts w:eastAsia="Calibri"/>
          <w:b/>
          <w:i/>
          <w:color w:val="auto"/>
          <w:sz w:val="24"/>
          <w:szCs w:val="24"/>
          <w:highlight w:val="white"/>
        </w:rPr>
      </w:r>
      <w:r>
        <w:rPr>
          <w:rFonts w:eastAsia="Calibri"/>
          <w:b/>
          <w:i/>
          <w:color w:val="auto"/>
          <w:sz w:val="24"/>
          <w:szCs w:val="24"/>
          <w:highlight w:val="white"/>
        </w:rPr>
      </w:r>
    </w:p>
    <w:p>
      <w:pPr>
        <w:pStyle w:val="753"/>
        <w:ind w:left="0" w:firstLine="0"/>
        <w:jc w:val="center"/>
        <w:rPr>
          <w:caps/>
          <w:color w:val="auto"/>
          <w:highlight w:val="white"/>
        </w:rPr>
      </w:pPr>
      <w:r>
        <w:rPr>
          <w:color w:val="auto"/>
          <w:highlight w:val="white"/>
        </w:rPr>
      </w:r>
      <w:bookmarkStart w:id="1" w:name="_Toc51339692"/>
      <w:r>
        <w:rPr>
          <w:color w:val="auto"/>
          <w:highlight w:val="white"/>
        </w:rPr>
      </w:r>
      <w:bookmarkStart w:id="2" w:name="_Toc54646395"/>
      <w:r>
        <w:rPr>
          <w:color w:val="auto"/>
          <w:highlight w:val="white"/>
        </w:rPr>
        <w:t xml:space="preserve">Общие сведения</w:t>
      </w:r>
      <w:bookmarkEnd w:id="1"/>
      <w:r>
        <w:rPr>
          <w:color w:val="auto"/>
          <w:highlight w:val="white"/>
        </w:rPr>
      </w:r>
      <w:bookmarkEnd w:id="2"/>
      <w:r>
        <w:rPr>
          <w:caps/>
          <w:color w:val="auto"/>
          <w:highlight w:val="white"/>
        </w:rPr>
      </w:r>
      <w:r>
        <w:rPr>
          <w:caps/>
          <w:color w:val="auto"/>
          <w:highlight w:val="white"/>
        </w:rPr>
      </w:r>
    </w:p>
    <w:p>
      <w:pPr>
        <w:pStyle w:val="756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3" w:name="_Toc46743505"/>
      <w:r>
        <w:rPr>
          <w:color w:val="auto"/>
          <w:highlight w:val="white"/>
        </w:rPr>
      </w:r>
      <w:bookmarkStart w:id="4" w:name="_Toc54646396"/>
      <w:r>
        <w:rPr>
          <w:color w:val="auto"/>
          <w:highlight w:val="white"/>
        </w:rPr>
        <w:t xml:space="preserve">Обозначения и сокращения</w:t>
      </w:r>
      <w:bookmarkEnd w:id="3"/>
      <w:r>
        <w:rPr>
          <w:color w:val="auto"/>
          <w:highlight w:val="white"/>
        </w:rPr>
      </w:r>
      <w:bookmarkEnd w:id="4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rPr>
          <w:color w:val="auto"/>
          <w:highlight w:val="white"/>
        </w:rPr>
      </w:pPr>
      <w:r>
        <w:rPr>
          <w:color w:val="auto"/>
          <w:highlight w:val="white"/>
        </w:rPr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ПД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Проектная документация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РД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  <w:t xml:space="preserve">Рабочая документация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>
          <w:jc w:val="center"/>
          <w:trHeight w:val="322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ТТ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Технические требования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>
          <w:jc w:val="center"/>
          <w:trHeight w:val="322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СП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Структурное подразделение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>
          <w:jc w:val="center"/>
          <w:trHeight w:val="322"/>
        </w:trPr>
        <w:tc>
          <w:tcPr>
            <w:tcW w:w="1785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СПБиОТ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Служба промышленной безопасности и охраны труда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</w:tbl>
    <w:p>
      <w:pPr>
        <w:jc w:val="both"/>
        <w:keepLines/>
        <w:keepNext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jc w:val="both"/>
        <w:keepLines/>
        <w:keepNext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keepLines/>
        <w:keepNext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br w:type="page" w:clear="all"/>
      </w:r>
      <w:bookmarkStart w:id="8" w:name="_Toc46743506"/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pStyle w:val="756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9" w:name="_Toc54646397"/>
      <w:r>
        <w:rPr>
          <w:color w:val="auto"/>
          <w:highlight w:val="white"/>
        </w:rPr>
        <w:t xml:space="preserve">Наименование закупаемой продукции</w:t>
      </w:r>
      <w:bookmarkEnd w:id="8"/>
      <w:r>
        <w:rPr>
          <w:color w:val="auto"/>
          <w:highlight w:val="white"/>
        </w:rPr>
      </w:r>
      <w:bookmarkEnd w:id="9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ind w:firstLine="709"/>
        <w:jc w:val="both"/>
        <w:spacing w:before="120" w:after="120"/>
        <w:widowControl w:val="off"/>
        <w:tabs>
          <w:tab w:val="left" w:pos="426" w:leader="none"/>
        </w:tabs>
        <w:rPr>
          <w:rStyle w:val="995"/>
          <w:b w:val="0"/>
          <w:bCs/>
          <w:i w:val="0"/>
          <w:color w:val="auto"/>
          <w:sz w:val="24"/>
          <w:szCs w:val="24"/>
          <w:highlight w:val="white"/>
        </w:rPr>
      </w:pPr>
      <w:r>
        <w:rPr>
          <w:rFonts w:eastAsia="Calibri"/>
          <w:color w:val="auto"/>
          <w:sz w:val="24"/>
          <w:szCs w:val="24"/>
          <w:highlight w:val="white"/>
        </w:rPr>
      </w:r>
      <w:r>
        <w:rPr>
          <w:rFonts w:eastAsia="Calibri"/>
          <w:color w:val="auto"/>
          <w:sz w:val="24"/>
          <w:szCs w:val="24"/>
          <w:highlight w:val="white"/>
        </w:rPr>
        <w:t xml:space="preserve">О</w:t>
      </w:r>
      <w:r>
        <w:rPr>
          <w:rFonts w:eastAsia="Calibri"/>
          <w:color w:val="auto"/>
          <w:sz w:val="24"/>
          <w:szCs w:val="24"/>
          <w:highlight w:val="white"/>
        </w:rPr>
        <w:t xml:space="preserve">КПД 2 43.99.90 Выполнение строительно-монтажных работ (включая поставку материалов и оборудования) по техперевооружению комплекса инженерно-технических средств физической защиты СП Комсомольская ТЭЦ-3, водогрейная котельная Дземги в рамках инвестиционного </w:t>
      </w:r>
      <w:r>
        <w:rPr>
          <w:rFonts w:eastAsia="Calibri"/>
          <w:color w:val="auto"/>
          <w:sz w:val="24"/>
          <w:szCs w:val="24"/>
          <w:highlight w:val="white"/>
        </w:rPr>
        <w:t xml:space="preserve">проекта F_505-ХГ-25, г. Комсомольск-на Амуре</w:t>
      </w:r>
      <w:r>
        <w:rPr>
          <w:rStyle w:val="995"/>
          <w:b w:val="0"/>
          <w:bCs/>
          <w:i w:val="0"/>
          <w:color w:val="auto"/>
          <w:sz w:val="24"/>
          <w:szCs w:val="24"/>
          <w:highlight w:val="white"/>
        </w:rPr>
      </w:r>
      <w:r>
        <w:rPr>
          <w:rStyle w:val="995"/>
          <w:b w:val="0"/>
          <w:bCs/>
          <w:i w:val="0"/>
          <w:color w:val="auto"/>
          <w:sz w:val="24"/>
          <w:szCs w:val="24"/>
          <w:highlight w:val="white"/>
        </w:rPr>
      </w:r>
    </w:p>
    <w:p>
      <w:pPr>
        <w:pStyle w:val="756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10" w:name="_Toc46743507"/>
      <w:r>
        <w:rPr>
          <w:color w:val="auto"/>
          <w:highlight w:val="white"/>
        </w:rPr>
        <w:t xml:space="preserve">Цель </w:t>
      </w:r>
      <w:bookmarkEnd w:id="10"/>
      <w:r>
        <w:rPr>
          <w:color w:val="auto"/>
          <w:highlight w:val="white"/>
        </w:rPr>
        <w:t xml:space="preserve">выполнения работ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contextualSpacing w:val="0"/>
        <w:ind w:firstLine="709"/>
        <w:jc w:val="both"/>
        <w:spacing w:before="0" w:after="0" w:line="240" w:lineRule="auto"/>
        <w:widowControl w:val="off"/>
        <w:tabs>
          <w:tab w:val="left" w:pos="426" w:leader="none"/>
        </w:tabs>
        <w:rPr>
          <w:rStyle w:val="995"/>
          <w:b w:val="0"/>
          <w:bCs w:val="0"/>
          <w:color w:val="auto"/>
          <w:sz w:val="24"/>
          <w:szCs w:val="24"/>
          <w:highlight w:val="none"/>
        </w:rPr>
        <w:suppressLineNumbers w:val="0"/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  <w:t xml:space="preserve">И</w:t>
      </w:r>
      <w:r>
        <w:rPr>
          <w:color w:val="auto"/>
          <w:sz w:val="24"/>
          <w:szCs w:val="24"/>
          <w:highlight w:val="white"/>
        </w:rPr>
        <w:t xml:space="preserve">сполнение Требований обеспечения безопасности и антитеррористической защищенности объектов топливно-энергетического комплекса, утвержденных Постановлением Правительства РФ от 03.08.2024 №1046, а также Федерального закона от 21.07.2011г. ФЗ-256 "О безопасно</w:t>
      </w:r>
      <w:r>
        <w:rPr>
          <w:color w:val="auto"/>
          <w:sz w:val="24"/>
          <w:szCs w:val="24"/>
          <w:highlight w:val="white"/>
        </w:rPr>
        <w:t xml:space="preserve">сти объектов ТЭК".</w:t>
      </w:r>
      <w:r>
        <w:rPr>
          <w:rStyle w:val="995"/>
          <w:b w:val="0"/>
          <w:bCs/>
          <w:color w:val="auto"/>
          <w:sz w:val="24"/>
          <w:szCs w:val="24"/>
          <w:highlight w:val="white"/>
        </w:rPr>
      </w:r>
      <w:r>
        <w:rPr>
          <w:rStyle w:val="995"/>
          <w:b w:val="0"/>
          <w:bCs w:val="0"/>
          <w:color w:val="auto"/>
          <w:sz w:val="24"/>
          <w:szCs w:val="24"/>
          <w:highlight w:val="none"/>
        </w:rPr>
      </w:r>
    </w:p>
    <w:p>
      <w:pPr>
        <w:ind w:left="0" w:right="0" w:firstLine="709"/>
        <w:jc w:val="both"/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Приведение окон зданий, помещений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являющихся частью периметра и выходящих за территорию периметра должны в соответствие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Требованиям утвержденным постановлением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Правительства РФ от 03.08.2025г №1046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212121"/>
          <w:sz w:val="24"/>
          <w:szCs w:val="24"/>
          <w:highlight w:val="white"/>
        </w:rPr>
        <w:t xml:space="preserve"> «</w:t>
      </w:r>
      <w:r>
        <w:rPr>
          <w:rFonts w:ascii="Times New Roman" w:hAnsi="Times New Roman" w:eastAsia="Times New Roman" w:cs="Times New Roman"/>
          <w:b w:val="0"/>
          <w:bCs w:val="0"/>
          <w:color w:val="212121"/>
          <w:sz w:val="24"/>
          <w:szCs w:val="24"/>
          <w:highlight w:val="white"/>
        </w:rPr>
        <w:t xml:space="preserve">Об утверждении Требований обеспечения безопасности и антитеррористической защищенности объектов топливно-энергетического комплекса</w:t>
      </w:r>
      <w:r>
        <w:rPr>
          <w:rFonts w:ascii="Times New Roman" w:hAnsi="Times New Roman" w:eastAsia="Times New Roman" w:cs="Times New Roman"/>
          <w:b w:val="0"/>
          <w:bCs w:val="0"/>
          <w:color w:val="212121"/>
          <w:sz w:val="24"/>
          <w:szCs w:val="24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b w:val="0"/>
          <w:bCs w:val="0"/>
          <w:color w:val="21212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пункт 49, подпункт а)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ind w:left="0" w:right="0" w:firstLine="709"/>
        <w:jc w:val="both"/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Реконструкция кровли здания Проходной № 4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необходима в связи с тем, что здание является постом для размещения работников охраны (силы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физической защиты) и технических средств охраны: пункт 142 Требований - тревожная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кнопка подачи сигнала тревоги; пункт 143 Требований - мониторинговое устройство для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обнаружения БПЛА,с зарядным устройством; пункт 144 Требований - проводная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(телефонная) и радиосвязь (радиостанции с зарядным устройством); оборудова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ние сигнализации открывания ворот; комплект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освещения. Ветхое состояние кровли не обеспечивает защиту размещенного в здании оборудования от попадания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атмосферных  осадков (протекание кровли),  что приведет к выходу оборудования из строя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before="120" w:after="240"/>
        <w:widowControl w:val="off"/>
        <w:tabs>
          <w:tab w:val="left" w:pos="426" w:leader="none"/>
        </w:tabs>
        <w:rPr>
          <w:rStyle w:val="995"/>
          <w:b w:val="0"/>
          <w:bCs w:val="0"/>
          <w:color w:val="auto"/>
          <w:sz w:val="24"/>
          <w:szCs w:val="24"/>
          <w:highlight w:val="white"/>
        </w:rPr>
      </w:pPr>
      <w:r>
        <w:rPr>
          <w:rStyle w:val="995"/>
          <w:b w:val="0"/>
          <w:bCs/>
          <w:color w:val="auto"/>
          <w:sz w:val="24"/>
          <w:szCs w:val="24"/>
          <w:highlight w:val="none"/>
        </w:rPr>
      </w:r>
      <w:r>
        <w:rPr>
          <w:rStyle w:val="995"/>
          <w:b w:val="0"/>
          <w:bCs/>
          <w:color w:val="auto"/>
          <w:sz w:val="24"/>
          <w:szCs w:val="24"/>
          <w:highlight w:val="none"/>
        </w:rPr>
      </w:r>
    </w:p>
    <w:p>
      <w:pPr>
        <w:pStyle w:val="756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11" w:name="_Toc46743508"/>
      <w:r>
        <w:rPr>
          <w:color w:val="auto"/>
          <w:highlight w:val="white"/>
        </w:rPr>
        <w:t xml:space="preserve">Существующее положение</w:t>
      </w:r>
      <w:bookmarkEnd w:id="11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Техническое перевооружение</w:t>
      </w:r>
      <w:r>
        <w:rPr>
          <w:color w:val="auto"/>
          <w:sz w:val="24"/>
          <w:szCs w:val="24"/>
          <w:highlight w:val="white"/>
        </w:rPr>
        <w:t xml:space="preserve"> на территории промышленных площадок СП «Комсомольская ТЭЦ-3», расположенной по адресу: Хабаровский край, г. Комсомольск-на-Амуре, Северное шоссе, 151 и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ВК «Дземги»</w:t>
      </w:r>
      <w:r>
        <w:rPr>
          <w:color w:val="auto"/>
          <w:sz w:val="24"/>
          <w:szCs w:val="24"/>
          <w:highlight w:val="white"/>
        </w:rPr>
        <w:t xml:space="preserve">, расположенной по адресу:</w:t>
      </w:r>
      <w:r>
        <w:rPr>
          <w:color w:val="auto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Хабаровский край, г. Комсомольск-на-Амуре, ул. Радищева, 8. Выполнение работ </w:t>
      </w:r>
      <w:r>
        <w:rPr>
          <w:color w:val="auto"/>
          <w:sz w:val="24"/>
          <w:szCs w:val="24"/>
          <w:highlight w:val="white"/>
          <w:shd w:val="clear" w:color="auto" w:fill="ffffff"/>
        </w:rPr>
        <w:t xml:space="preserve">ляется</w:t>
      </w:r>
      <w:r>
        <w:rPr>
          <w:color w:val="auto"/>
          <w:sz w:val="24"/>
          <w:szCs w:val="24"/>
          <w:highlight w:val="white"/>
        </w:rPr>
        <w:t xml:space="preserve"> в </w:t>
      </w:r>
      <w:r>
        <w:rPr>
          <w:color w:val="auto"/>
          <w:sz w:val="24"/>
          <w:szCs w:val="24"/>
          <w:highlight w:val="white"/>
          <w:shd w:val="clear" w:color="auto" w:fill="ffffff"/>
        </w:rPr>
        <w:t xml:space="preserve">условиях действующего предприятия.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pStyle w:val="923"/>
        <w:ind w:firstLine="283"/>
        <w:jc w:val="both"/>
        <w:spacing w:after="0" w:line="264" w:lineRule="auto"/>
        <w:rPr>
          <w:b/>
          <w:color w:val="auto"/>
          <w:sz w:val="22"/>
          <w:szCs w:val="22"/>
          <w:highlight w:val="white"/>
        </w:rPr>
      </w:pPr>
      <w:r>
        <w:rPr>
          <w:b/>
          <w:color w:val="auto"/>
          <w:sz w:val="24"/>
          <w:szCs w:val="24"/>
          <w:highlight w:val="white"/>
        </w:rPr>
        <w:t xml:space="preserve">Климатические условия площадки расположения объекта:</w:t>
      </w:r>
      <w:r>
        <w:rPr>
          <w:b/>
          <w:color w:val="auto"/>
          <w:sz w:val="22"/>
          <w:szCs w:val="22"/>
          <w:highlight w:val="white"/>
        </w:rPr>
      </w:r>
      <w:r>
        <w:rPr>
          <w:b/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b/>
          <w:bCs/>
          <w:color w:val="auto"/>
          <w:sz w:val="24"/>
          <w:szCs w:val="24"/>
          <w:highlight w:val="white"/>
        </w:rPr>
        <w:t xml:space="preserve">Климатические параметры холодного периода года по СНиП 23-01-99 (для г. Комсомольска-на-Амуре):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температура воздуха наиболее холодных суток, обеспеченностью 0,98 минус 41°С;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температура воздуха наиболее холодных суток, обеспеченностью 0,92 минус 38°С;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–температура воздуха наиболее холодной пятидневки, обеспеченностью 0,98 минус 38°С;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температура воздуха наиболее холодной пятидневки, обеспеченностью 0,92 минус 36°С;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абсолютная минимальная температура воздуха – минус 45°С;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среднемесячная относительная влажность воздуха наиболее холодного месяца –78%;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средняя относительная влажность воздуха в 15 ч наиболее холодного месяца – 76%.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b/>
          <w:bCs/>
          <w:color w:val="auto"/>
          <w:sz w:val="24"/>
          <w:szCs w:val="24"/>
          <w:highlight w:val="white"/>
        </w:rPr>
        <w:t xml:space="preserve">Климатические параметры теплого периода года по СНиП 23-01-99 (для г. Комсомольска-на-Амуре):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барометрическое давление – 1005гПа;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температура воздуха, обеспеченностью 0,95 – плюс 24°С;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температура воздуха, обеспеченностью 0,98 – плюс 27°С;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средняя максимальная температура воздуха наиболее теплого месяца плюс 26,7°С;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абсолютная максимальная температура воздуха – плюс 36°С;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среднемесячная относительная влажность воздуха наиболее теплого месяца – 76%;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color w:val="auto"/>
          <w:sz w:val="22"/>
          <w:szCs w:val="22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– средняя относительная влажность воздуха в 15 ч наиболее теплого месяца– 62%.</w:t>
      </w:r>
      <w:r>
        <w:rPr>
          <w:color w:val="auto"/>
          <w:sz w:val="22"/>
          <w:szCs w:val="22"/>
          <w:highlight w:val="white"/>
        </w:rPr>
      </w:r>
      <w:r>
        <w:rPr>
          <w:color w:val="auto"/>
          <w:sz w:val="22"/>
          <w:szCs w:val="22"/>
          <w:highlight w:val="white"/>
        </w:rPr>
      </w:r>
    </w:p>
    <w:p>
      <w:pPr>
        <w:ind w:firstLine="283"/>
        <w:jc w:val="both"/>
        <w:rPr>
          <w:b/>
          <w:bCs/>
          <w:color w:val="auto"/>
          <w:sz w:val="24"/>
          <w:szCs w:val="24"/>
          <w:highlight w:val="white"/>
        </w:rPr>
      </w:pPr>
      <w:r>
        <w:rPr>
          <w:b/>
          <w:bCs/>
          <w:color w:val="auto"/>
          <w:sz w:val="24"/>
          <w:szCs w:val="24"/>
          <w:highlight w:val="white"/>
        </w:rPr>
        <w:t xml:space="preserve">Глубина промерзания почвы:</w:t>
      </w:r>
      <w:r>
        <w:rPr>
          <w:b/>
          <w:bCs/>
          <w:color w:val="auto"/>
          <w:sz w:val="24"/>
          <w:szCs w:val="24"/>
          <w:highlight w:val="white"/>
        </w:rPr>
      </w:r>
      <w:r>
        <w:rPr>
          <w:b/>
          <w:bCs/>
          <w:color w:val="auto"/>
          <w:sz w:val="24"/>
          <w:szCs w:val="24"/>
          <w:highlight w:val="white"/>
        </w:rPr>
      </w:r>
    </w:p>
    <w:p>
      <w:pPr>
        <w:pStyle w:val="964"/>
        <w:numPr>
          <w:ilvl w:val="0"/>
          <w:numId w:val="18"/>
        </w:numPr>
        <w:jc w:val="both"/>
        <w:rPr>
          <w:rFonts w:eastAsia="Times New Roman"/>
          <w:color w:val="auto"/>
          <w:highlight w:val="white"/>
        </w:rPr>
      </w:pPr>
      <w:r>
        <w:rPr>
          <w:rFonts w:eastAsia="Times New Roman"/>
          <w:color w:val="auto"/>
          <w:highlight w:val="white"/>
        </w:rPr>
        <w:t xml:space="preserve">средняя – 1,4 м.;</w:t>
      </w:r>
      <w:r>
        <w:rPr>
          <w:rFonts w:eastAsia="Times New Roman"/>
          <w:color w:val="auto"/>
          <w:highlight w:val="white"/>
        </w:rPr>
      </w:r>
      <w:r>
        <w:rPr>
          <w:rFonts w:eastAsia="Times New Roman"/>
          <w:color w:val="auto"/>
          <w:highlight w:val="white"/>
        </w:rPr>
      </w:r>
    </w:p>
    <w:p>
      <w:pPr>
        <w:pStyle w:val="964"/>
        <w:numPr>
          <w:ilvl w:val="0"/>
          <w:numId w:val="18"/>
        </w:numPr>
        <w:jc w:val="both"/>
        <w:rPr>
          <w:color w:val="auto"/>
          <w:highlight w:val="white"/>
        </w:rPr>
      </w:pPr>
      <w:r>
        <w:rPr>
          <w:rFonts w:eastAsia="Times New Roman"/>
          <w:color w:val="auto"/>
          <w:highlight w:val="white"/>
        </w:rPr>
        <w:t xml:space="preserve">наибольшая – 2,3 м.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ind w:firstLine="283"/>
        <w:jc w:val="both"/>
        <w:rPr>
          <w:color w:val="auto"/>
          <w:sz w:val="24"/>
          <w:szCs w:val="24"/>
          <w:highlight w:val="white"/>
        </w:rPr>
      </w:pPr>
      <w:r>
        <w:rPr>
          <w:b/>
          <w:bCs/>
          <w:color w:val="auto"/>
          <w:sz w:val="24"/>
          <w:szCs w:val="24"/>
          <w:highlight w:val="white"/>
        </w:rPr>
      </w:r>
      <w:r>
        <w:rPr>
          <w:b/>
          <w:bCs/>
          <w:color w:val="auto"/>
          <w:sz w:val="24"/>
          <w:szCs w:val="24"/>
          <w:highlight w:val="white"/>
        </w:rPr>
        <w:t xml:space="preserve">Документы предоставляемые Заказчиком по письменному запросу Подрядчика</w:t>
      </w:r>
      <w:r>
        <w:rPr>
          <w:b/>
          <w:bCs/>
          <w:color w:val="auto"/>
          <w:sz w:val="24"/>
          <w:szCs w:val="24"/>
          <w:highlight w:val="white"/>
        </w:rPr>
        <w:t xml:space="preserve">: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pStyle w:val="964"/>
        <w:numPr>
          <w:ilvl w:val="0"/>
          <w:numId w:val="17"/>
        </w:numPr>
        <w:ind w:left="0" w:firstLine="283"/>
        <w:jc w:val="both"/>
        <w:rPr>
          <w:color w:val="auto"/>
          <w:highlight w:val="white"/>
        </w:rPr>
      </w:pPr>
      <w:r>
        <w:rPr>
          <w:rFonts w:eastAsia="Times New Roman"/>
          <w:color w:val="auto"/>
          <w:highlight w:val="white"/>
        </w:rPr>
        <w:t xml:space="preserve">Генеральный план производственной площадки СП «Комсомольская ТЭЦ-3»;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64"/>
        <w:numPr>
          <w:ilvl w:val="0"/>
          <w:numId w:val="17"/>
        </w:numPr>
        <w:ind w:left="0" w:firstLine="283"/>
        <w:jc w:val="both"/>
        <w:rPr>
          <w:color w:val="auto"/>
          <w:highlight w:val="white"/>
        </w:rPr>
      </w:pPr>
      <w:r>
        <w:rPr>
          <w:rFonts w:eastAsia="Times New Roman"/>
          <w:color w:val="auto"/>
          <w:highlight w:val="whit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Технические отчеты по результатам инженерно-геодезических изысканий и инженерно-геологических изысканий, Проектная и Рабочая документация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«Комплекс инженерно-технических средств физической защиты СП «Комсомольская ТЭЦ-3 филиала «Хабаровская генерация» АО «ДГК» (актуализация)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3719»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;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964"/>
        <w:numPr>
          <w:ilvl w:val="0"/>
          <w:numId w:val="17"/>
        </w:numPr>
        <w:ind w:left="0" w:firstLine="283"/>
        <w:jc w:val="both"/>
        <w:rPr>
          <w:color w:val="auto"/>
          <w:highlight w:val="whit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Проектная и Рабочая документация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«Комплекс инженерно-технических средств физической защиты водогрейной котельной «Дземги» СП «Комсомольская ТЭЦ-3 (актуализация)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 3319/ХГ-01-03».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pStyle w:val="753"/>
        <w:numPr>
          <w:ilvl w:val="0"/>
          <w:numId w:val="0"/>
        </w:numPr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12" w:name="_Toc54646400"/>
      <w:r>
        <w:rPr>
          <w:color w:val="auto"/>
          <w:highlight w:val="white"/>
        </w:rPr>
        <w:t xml:space="preserve">Таблица 1. Перечень объектов заказчика</w:t>
      </w:r>
      <w:bookmarkEnd w:id="12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64"/>
        <w:gridCol w:w="1843"/>
        <w:gridCol w:w="1984"/>
        <w:gridCol w:w="2410"/>
      </w:tblGrid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№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п/п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864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Наименование объекта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Расположение объекта </w:t>
            </w:r>
            <w:r>
              <w:rPr>
                <w:color w:val="auto"/>
                <w:sz w:val="24"/>
                <w:szCs w:val="24"/>
                <w:highlight w:val="white"/>
              </w:rPr>
              <w:br/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(место производства работ)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Наименование основного средства </w:t>
            </w:r>
            <w:r>
              <w:rPr>
                <w:color w:val="auto"/>
                <w:sz w:val="24"/>
                <w:szCs w:val="24"/>
                <w:highlight w:val="white"/>
              </w:rPr>
              <w:br/>
              <w:t xml:space="preserve">(в отношении которого выполняются работы)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Примечания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1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864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4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5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881"/>
        </w:trPr>
        <w:tc>
          <w:tcPr>
            <w:tcW w:w="817" w:type="dxa"/>
            <w:textDirection w:val="lrTb"/>
            <w:noWrap w:val="false"/>
          </w:tcPr>
          <w:p>
            <w:pPr>
              <w:pStyle w:val="964"/>
              <w:numPr>
                <w:ilvl w:val="0"/>
                <w:numId w:val="10"/>
              </w:num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shd w:val="clear" w:color="auto" w:fill="auto"/>
            <w:tcW w:w="2864" w:type="dxa"/>
            <w:textDirection w:val="lrTb"/>
            <w:noWrap w:val="false"/>
          </w:tcPr>
          <w:p>
            <w:pPr>
              <w:jc w:val="both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rFonts w:eastAsia="Calibri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Выполнение строительно-монтажных работ (включая поставку материалов и оборудования) по техперевооружению комплекса инженерно-технических средств физической защиты Комсомольская ТЭЦ-3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681034, Хабаровский край, г. Комсомольск-на-Амуре, Северное шоссе, 151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i/>
                <w:color w:val="auto"/>
                <w:sz w:val="24"/>
                <w:szCs w:val="24"/>
                <w:highlight w:val="none"/>
              </w:rPr>
              <w:t xml:space="preserve">Здание проходной (Инв. № </w:t>
            </w:r>
            <w:r>
              <w:rPr>
                <w:i/>
                <w:color w:val="auto"/>
                <w:sz w:val="24"/>
                <w:szCs w:val="24"/>
                <w:highlight w:val="none"/>
              </w:rPr>
              <w:t xml:space="preserve">00000000000000009016</w:t>
            </w:r>
            <w:r>
              <w:rPr>
                <w:i/>
                <w:color w:val="auto"/>
                <w:sz w:val="24"/>
                <w:szCs w:val="24"/>
                <w:highlight w:val="none"/>
              </w:rPr>
              <w:t xml:space="preserve">/ </w:t>
            </w:r>
            <w:r>
              <w:rPr>
                <w:i/>
                <w:color w:val="auto"/>
                <w:sz w:val="24"/>
                <w:szCs w:val="24"/>
                <w:highlight w:val="none"/>
              </w:rPr>
              <w:t xml:space="preserve">B040000000003)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jc w:val="center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17" w:type="dxa"/>
            <w:vMerge w:val="restart"/>
            <w:textDirection w:val="lrTb"/>
            <w:noWrap w:val="false"/>
          </w:tcPr>
          <w:p>
            <w:pPr>
              <w:jc w:val="left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2.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864" w:type="dxa"/>
            <w:vMerge w:val="restart"/>
            <w:textDirection w:val="lrTb"/>
            <w:noWrap w:val="false"/>
          </w:tcPr>
          <w:p>
            <w:pPr>
              <w:jc w:val="both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rFonts w:eastAsia="Calibri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Выполнение строительно-монтажных работ (включая поставку материалов и оборудования) по техперевооружению комплекса инженерно-технических средств физической защиты Комсомольская ТЭЦ-3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681034, Хабаровский край, г. Комсомольск-на-Амуре, Северное шоссе, 151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  <w:t xml:space="preserve">Здание контрольно-пропускного пункта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  <w:t xml:space="preserve"> (Инв. № 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  <w:t xml:space="preserve">00000000000000009113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  <w:t xml:space="preserve">/ 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  <w:t xml:space="preserve">B040000000162)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410" w:type="dxa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left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3.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864" w:type="dxa"/>
            <w:textDirection w:val="lrTb"/>
            <w:noWrap w:val="false"/>
          </w:tcPr>
          <w:p>
            <w:pPr>
              <w:jc w:val="both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rFonts w:eastAsia="Calibri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Выполнение строительно-монтажных работ (включая поставку материалов и оборудования) по техперевооружению комплекса инженерно-технических средств физической защиты водогрейная котельная Дземги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681007, Хабаровский край, г. Комсомольск-на-Амуре,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ул. Радищева, 8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  <w:t xml:space="preserve">Ограждение металлическое ВК "Дземги" 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  <w:t xml:space="preserve"> (Инв. № 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  <w:t xml:space="preserve">00000000000000009811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  <w:t xml:space="preserve">/ 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  <w:t xml:space="preserve">B040000001012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  <w:t xml:space="preserve">)</w:t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color w:val="auto"/>
                <w:sz w:val="24"/>
                <w:szCs w:val="24"/>
                <w:highlight w:val="white"/>
              </w:rPr>
            </w:r>
          </w:p>
        </w:tc>
      </w:tr>
    </w:tbl>
    <w:p>
      <w:pPr>
        <w:pStyle w:val="753"/>
        <w:ind w:left="0" w:firstLine="0"/>
        <w:jc w:val="center"/>
        <w:rPr>
          <w:caps/>
          <w:color w:val="auto"/>
          <w:highlight w:val="white"/>
        </w:rPr>
      </w:pPr>
      <w:r>
        <w:rPr>
          <w:color w:val="auto"/>
          <w:highlight w:val="white"/>
        </w:rPr>
      </w:r>
      <w:bookmarkStart w:id="13" w:name="_Toc51339693"/>
      <w:r>
        <w:rPr>
          <w:color w:val="auto"/>
          <w:highlight w:val="white"/>
        </w:rPr>
      </w:r>
      <w:bookmarkStart w:id="14" w:name="_Toc54646403"/>
      <w:r>
        <w:rPr>
          <w:color w:val="auto"/>
          <w:highlight w:val="white"/>
        </w:rPr>
        <w:t xml:space="preserve">Требования к продукции</w:t>
      </w:r>
      <w:bookmarkEnd w:id="13"/>
      <w:r>
        <w:rPr>
          <w:color w:val="auto"/>
          <w:highlight w:val="white"/>
        </w:rPr>
      </w:r>
      <w:bookmarkEnd w:id="14"/>
      <w:r>
        <w:rPr>
          <w:caps/>
          <w:color w:val="auto"/>
          <w:highlight w:val="white"/>
        </w:rPr>
      </w:r>
      <w:r>
        <w:rPr>
          <w:caps/>
          <w:color w:val="auto"/>
          <w:highlight w:val="white"/>
        </w:rPr>
      </w:r>
    </w:p>
    <w:p>
      <w:pPr>
        <w:pStyle w:val="756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15" w:name="_Toc54646404"/>
      <w:r>
        <w:rPr>
          <w:color w:val="auto"/>
          <w:highlight w:val="white"/>
        </w:rPr>
        <w:t xml:space="preserve">Требования к объемам и срокам выполнения работ</w:t>
      </w:r>
      <w:bookmarkEnd w:id="15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755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16" w:name="_Toc54646405"/>
      <w:r>
        <w:rPr>
          <w:color w:val="auto"/>
          <w:highlight w:val="white"/>
        </w:rPr>
        <w:t xml:space="preserve">Требования к видам и объемам работ</w:t>
      </w:r>
      <w:bookmarkEnd w:id="16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753"/>
        <w:numPr>
          <w:ilvl w:val="0"/>
          <w:numId w:val="0"/>
        </w:numPr>
        <w:rPr>
          <w:color w:val="auto"/>
          <w:sz w:val="24"/>
          <w:szCs w:val="24"/>
          <w:highlight w:val="white"/>
        </w:rPr>
      </w:pPr>
      <w:r>
        <w:rPr>
          <w:color w:val="auto"/>
          <w:highlight w:val="white"/>
        </w:rPr>
      </w:r>
      <w:bookmarkStart w:id="17" w:name="_Toc51339695"/>
      <w:r>
        <w:rPr>
          <w:color w:val="auto"/>
          <w:highlight w:val="white"/>
        </w:rPr>
      </w:r>
      <w:bookmarkStart w:id="18" w:name="_Toc54646406"/>
      <w:r>
        <w:rPr>
          <w:color w:val="auto"/>
          <w:sz w:val="24"/>
          <w:szCs w:val="24"/>
          <w:highlight w:val="white"/>
        </w:rPr>
        <w:t xml:space="preserve">Таблица 2. Перечень </w:t>
      </w:r>
      <w:bookmarkEnd w:id="17"/>
      <w:r>
        <w:rPr>
          <w:color w:val="auto"/>
          <w:sz w:val="24"/>
          <w:szCs w:val="24"/>
          <w:highlight w:val="white"/>
        </w:rPr>
        <w:t xml:space="preserve">и объем выполняемых работ</w:t>
      </w:r>
      <w:bookmarkEnd w:id="18"/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№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jc w:val="center"/>
              <w:keepNext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п/п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484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Наименование работ /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Единица измерения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Количество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1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4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964"/>
              <w:numPr>
                <w:ilvl w:val="0"/>
                <w:numId w:val="12"/>
              </w:numPr>
              <w:jc w:val="right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  <w:t xml:space="preserve">"Комсомольская ТЭЦ-3": Выполнение строительно-монтажных работ в зданиях Центральной проходной и Проходной № 4; монтаж системы кондиционирования в здании Центральной проходной (включая испытания)</w:t>
            </w:r>
            <w:r>
              <w:rPr>
                <w:b/>
                <w:bCs/>
                <w:i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i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111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964"/>
              <w:numPr>
                <w:ilvl w:val="1"/>
                <w:numId w:val="12"/>
              </w:num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  <w:t xml:space="preserve">Выполнение строительно-монтажных работ в здании Центральной проходной</w:t>
            </w: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  <w:t xml:space="preserve">: </w:t>
            </w:r>
            <w:r>
              <w:rPr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в</w:t>
            </w:r>
            <w:r>
              <w:rPr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ы</w:t>
            </w:r>
            <w:r>
              <w:rPr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п</w:t>
            </w:r>
            <w:r>
              <w:rPr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о</w:t>
            </w:r>
            <w:r>
              <w:rPr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л</w:t>
            </w:r>
            <w:r>
              <w:rPr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н</w:t>
            </w:r>
            <w:r>
              <w:rPr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и</w:t>
            </w:r>
            <w:r>
              <w:rPr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т</w:t>
            </w:r>
            <w:r>
              <w:rPr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ь</w:t>
            </w:r>
            <w:r>
              <w:rPr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монтаж остекленных оконных переплетов и оконных коробок; 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становку окон ПВХ с подоконными досками и отливами; выполнить 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онтаж системы кондиционирования.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Окна зданий, помещений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являющихся частью периметра и  выходящие за территорию периметра должны быть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оснащены защитными конструкциями –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защитными пленками (для защиты от поражения взрывных устройств и гранат)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Согласно Требований утвержденных постановлением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Правительства РФ от 03.08.2025г №1046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212121"/>
                <w:sz w:val="24"/>
                <w:szCs w:val="24"/>
                <w:highlight w:val="white"/>
              </w:rPr>
              <w:t xml:space="preserve"> 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212121"/>
                <w:sz w:val="24"/>
                <w:szCs w:val="24"/>
                <w:highlight w:val="white"/>
              </w:rPr>
              <w:t xml:space="preserve">Об утверждении Требований обеспечения безопасности и антитеррористической защищенности объектов топливно-энергетического комплекса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212121"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212121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пункт 49, подпункт а)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111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964"/>
              <w:numPr>
                <w:ilvl w:val="1"/>
                <w:numId w:val="12"/>
              </w:num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  <w:t xml:space="preserve">Выполнение строительно-монтажных работ в здани</w:t>
            </w: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  <w:t xml:space="preserve">и Проходной № 4</w:t>
            </w: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  <w:t xml:space="preserve">: </w:t>
            </w:r>
            <w:r>
              <w:rPr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выполнить </w:t>
            </w:r>
            <w:r>
              <w:rPr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white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 xml:space="preserve">ем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онтаж остекленных оконных переплетов и оконных коробок, дверных полотен и дверных коробок, разборку кирпичных стен, разборку покрытий кровель из рулонных материалов, вывоз строительного мусора; 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стройство скатной кровли; 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становку окон ПВХ с подоконными досками и отливами; 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становку металлических дверных блоков и дверных доводчиков;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отделочные работы.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Окна зданий, помещений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являющихся частью периметра и  выходящие за территорию периметра должны быть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оснащены защитными конструкциями –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защитными пленками (для защиты от поражения взрывных устройств и гранат)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Согласно Требований утвержденных постановлением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Правительства РФ от 03.08.2025г №1046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212121"/>
                <w:sz w:val="24"/>
                <w:szCs w:val="24"/>
                <w:highlight w:val="white"/>
              </w:rPr>
              <w:t xml:space="preserve"> 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212121"/>
                <w:sz w:val="24"/>
                <w:szCs w:val="24"/>
                <w:highlight w:val="white"/>
              </w:rPr>
              <w:t xml:space="preserve">Об утверждении Требований обеспечения безопасности и антитеррористической защищенности объектов топливно-энергетического комплекса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212121"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212121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пункт 49, подпункт а)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111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pStyle w:val="964"/>
              <w:numPr>
                <w:ilvl w:val="0"/>
                <w:numId w:val="12"/>
              </w:numPr>
              <w:jc w:val="right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  <w:t xml:space="preserve">"Комсомольская ТЭЦ-3": Настройка системы комплекса радиооборудования "Волновая сеть"</w:t>
            </w: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  <w:t xml:space="preserve">: 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ыполнить настройку комплекса радиооборудования "Волновая сеть"</w:t>
            </w:r>
            <w:r>
              <w:rPr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  <w:r>
              <w:rPr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111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right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3.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rPr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</w:rPr>
            </w:r>
            <w:r>
              <w:rPr>
                <w:b/>
                <w:bCs/>
                <w:i/>
                <w:iCs/>
                <w:color w:val="auto"/>
                <w:sz w:val="24"/>
                <w:szCs w:val="24"/>
              </w:rPr>
              <w:t xml:space="preserve">ВК "Дземги": Монтаж опор наружного освещения и предупредительных знаков; Монтаж системы охранного освещения (СОО) (включая испытания)</w:t>
            </w:r>
            <w:r>
              <w:rPr>
                <w:b/>
                <w:bCs/>
                <w:i/>
                <w:iCs/>
                <w:color w:val="auto"/>
                <w:sz w:val="24"/>
                <w:szCs w:val="24"/>
              </w:rPr>
            </w:r>
            <w:r>
              <w:rPr>
                <w:b/>
                <w:bCs/>
                <w:i/>
                <w:iCs/>
                <w:color w:val="auto"/>
                <w:sz w:val="24"/>
                <w:szCs w:val="24"/>
              </w:rPr>
            </w:r>
          </w:p>
        </w:tc>
        <w:tc>
          <w:tcPr>
            <w:gridSpan w:val="2"/>
            <w:tcW w:w="4111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right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3.1.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Монтаж опор наружного освещения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ыполнить устройство щебеночного основания основания под фундаменты; з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аполнение раствором пустот между стенкой скважины и телом сваи;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аземление опор.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Перед началом выполнения работ Подрядчик обязан получить у Заказчика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допуск к бурению скважин и проведению земляных работ.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111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right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3.2.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Монтаж предупредительных знаков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выполнить 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становку дорожных знаков бесфундаментных на металлических стойках, знаков безопасности на опорах ограждения и на ограждении.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Перед началом выполнения работ Подрядчик обязан получить у Заказчика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допуск к бурению скважин и проведению земляных работ.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111" w:type="dxa"/>
            <w:textDirection w:val="lrTb"/>
            <w:noWrap w:val="false"/>
          </w:tcPr>
          <w:p>
            <w:pPr>
              <w:rPr>
                <w:color w:val="auto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blPrEx/>
        <w:trPr>
          <w:trHeight w:val="276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right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3.3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4849" w:type="dxa"/>
            <w:vMerge w:val="restart"/>
            <w:textDirection w:val="lrTb"/>
            <w:noWrap w:val="false"/>
          </w:tcPr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  <w:highlight w:val="none"/>
              </w:rPr>
              <w:t xml:space="preserve">Монтаж системы охранного освещения (СОО) (включая испытания):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 xml:space="preserve">выполнить 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highlight w:val="non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нтаж комплексов осветительных светодиодных на опорах ОГКс-12,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ОГКс-6,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ОСГкп-3,0; м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онтаж шкафов управления навесных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рокладку кабелей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; п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рокладку проводов; п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рокладку провода заземления коробок КМ 65-10; з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аземление кабельного лотка; з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емляные работы.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Перед началом выполнения работ Подрядчик обязан получить у Заказчика допуск к проведению земляных работ.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111" w:type="dxa"/>
            <w:vMerge w:val="restart"/>
            <w:textDirection w:val="lrTb"/>
            <w:noWrap w:val="false"/>
          </w:tcPr>
          <w:p>
            <w:pPr>
              <w:rPr>
                <w:color w:val="auto"/>
              </w:rPr>
            </w:pP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В соответствии 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с ведомостью объемов раб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от</w:t>
            </w:r>
            <w:r>
              <w:rPr>
                <w:i/>
                <w:iCs/>
                <w:color w:val="auto"/>
                <w:sz w:val="24"/>
                <w:szCs w:val="24"/>
                <w:highlight w:val="white"/>
              </w:rPr>
              <w:t xml:space="preserve"> (Приложение № 5 к настоящим Техническим требованиям)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bCs/>
          <w:i/>
          <w:color w:val="auto"/>
          <w:sz w:val="24"/>
          <w:szCs w:val="24"/>
          <w:highlight w:val="white"/>
          <w:shd w:val="clear" w:color="auto" w:fill="ffff99"/>
        </w:rPr>
      </w:pPr>
      <w:r>
        <w:rPr>
          <w:bCs/>
          <w:i/>
          <w:color w:val="auto"/>
          <w:sz w:val="24"/>
          <w:szCs w:val="24"/>
          <w:highlight w:val="white"/>
          <w:shd w:val="clear" w:color="auto" w:fill="ffff99"/>
        </w:rPr>
      </w:r>
      <w:r>
        <w:rPr>
          <w:bCs/>
          <w:i/>
          <w:color w:val="auto"/>
          <w:sz w:val="24"/>
          <w:szCs w:val="24"/>
          <w:highlight w:val="white"/>
          <w:shd w:val="clear" w:color="auto" w:fill="ffff99"/>
        </w:rPr>
      </w:r>
      <w:r>
        <w:rPr>
          <w:bCs/>
          <w:i/>
          <w:color w:val="auto"/>
          <w:sz w:val="24"/>
          <w:szCs w:val="24"/>
          <w:highlight w:val="white"/>
          <w:shd w:val="clear" w:color="auto" w:fill="ffff99"/>
        </w:rPr>
      </w:r>
    </w:p>
    <w:p>
      <w:pPr>
        <w:pStyle w:val="755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23" w:name="_Toc51339696"/>
      <w:r>
        <w:rPr>
          <w:color w:val="auto"/>
          <w:highlight w:val="white"/>
        </w:rPr>
      </w:r>
      <w:bookmarkStart w:id="24" w:name="_Toc54646407"/>
      <w:r>
        <w:rPr>
          <w:color w:val="auto"/>
          <w:highlight w:val="white"/>
        </w:rPr>
        <w:t xml:space="preserve">Требования </w:t>
      </w:r>
      <w:bookmarkEnd w:id="23"/>
      <w:r>
        <w:rPr>
          <w:color w:val="auto"/>
          <w:highlight w:val="white"/>
        </w:rPr>
        <w:t xml:space="preserve">к срокам выполнения работ</w:t>
      </w:r>
      <w:bookmarkEnd w:id="24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753"/>
        <w:numPr>
          <w:ilvl w:val="0"/>
          <w:numId w:val="0"/>
        </w:numPr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25" w:name="_Toc50125127"/>
      <w:r>
        <w:rPr>
          <w:color w:val="auto"/>
          <w:highlight w:val="white"/>
        </w:rPr>
      </w:r>
      <w:bookmarkStart w:id="26" w:name="_Toc51339697"/>
      <w:r>
        <w:rPr>
          <w:color w:val="auto"/>
          <w:highlight w:val="white"/>
        </w:rPr>
      </w:r>
      <w:bookmarkStart w:id="27" w:name="_Toc54646408"/>
      <w:r>
        <w:rPr>
          <w:color w:val="auto"/>
          <w:highlight w:val="white"/>
        </w:rPr>
        <w:t xml:space="preserve">Таблица 3. </w:t>
      </w:r>
      <w:bookmarkStart w:id="28" w:name="_Hlk50465284"/>
      <w:r>
        <w:rPr>
          <w:color w:val="auto"/>
          <w:highlight w:val="white"/>
        </w:rPr>
        <w:t xml:space="preserve">Требования по срокам </w:t>
      </w:r>
      <w:bookmarkEnd w:id="25"/>
      <w:r>
        <w:rPr>
          <w:color w:val="auto"/>
          <w:highlight w:val="white"/>
        </w:rPr>
      </w:r>
      <w:bookmarkEnd w:id="26"/>
      <w:r>
        <w:rPr>
          <w:color w:val="auto"/>
          <w:highlight w:val="white"/>
        </w:rPr>
      </w:r>
      <w:bookmarkEnd w:id="28"/>
      <w:r>
        <w:rPr>
          <w:color w:val="auto"/>
          <w:highlight w:val="white"/>
        </w:rPr>
        <w:t xml:space="preserve">выполнения работ</w:t>
      </w:r>
      <w:bookmarkEnd w:id="27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406"/>
        <w:gridCol w:w="2551"/>
        <w:gridCol w:w="2690"/>
      </w:tblGrid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№ п/п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340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Наименование работ/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Требования к началу срока выполнения работ/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69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Требования к окончанию срока выполнения работ /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1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3406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2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93"/>
              <w:jc w:val="center"/>
              <w:keepNext w:val="0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3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690" w:type="dxa"/>
            <w:textDirection w:val="lrTb"/>
            <w:noWrap w:val="false"/>
          </w:tcPr>
          <w:p>
            <w:pPr>
              <w:pStyle w:val="993"/>
              <w:jc w:val="center"/>
              <w:keepNext w:val="0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4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pStyle w:val="964"/>
              <w:numPr>
                <w:ilvl w:val="0"/>
                <w:numId w:val="13"/>
              </w:num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shd w:val="clear" w:color="auto" w:fill="auto"/>
            <w:tcW w:w="3406" w:type="dxa"/>
            <w:textDirection w:val="lrTb"/>
            <w:noWrap w:val="false"/>
          </w:tcPr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"Комсомольская ТЭЦ-3": Выполнение строительно-монтажных работ в зданиях Центральной проходной и Проходной № 4; монтаж системы кондиционирования в здании Центральной проходной (включая испытания)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с даты, следующей за датой заключения Договора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690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60 календарных дней с даты начала выполнения 1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pStyle w:val="964"/>
              <w:numPr>
                <w:ilvl w:val="0"/>
                <w:numId w:val="13"/>
              </w:numPr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shd w:val="clear" w:color="auto" w:fill="auto"/>
            <w:tcW w:w="3406" w:type="dxa"/>
            <w:textDirection w:val="lrTb"/>
            <w:noWrap w:val="false"/>
          </w:tcPr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  <w:t xml:space="preserve">"Комсомольская ТЭЦ-3": Настройка системы комплекса радиооборудования "Волновая сеть"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30 календарных дней с даты начала выполнения 1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690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30 календарных дней с даты начала выполнения 2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3.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3406" w:type="dxa"/>
            <w:textDirection w:val="lrTb"/>
            <w:noWrap w:val="false"/>
          </w:tcPr>
          <w:p>
            <w:pPr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i/>
                <w:iCs/>
                <w:color w:val="auto"/>
                <w:sz w:val="24"/>
                <w:szCs w:val="24"/>
                <w:highlight w:val="white"/>
              </w:rPr>
              <w:t xml:space="preserve">ВК "Дземги": Монтаж опор наружного освещения и предупредительных знаков; Монтаж системы охранного освещения (СОО) (включая испытания)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с даты, следующей за датой окончания 2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690" w:type="dxa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120 календарных дней с даты начала выполнения 3 этапа Работ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</w:tbl>
    <w:p>
      <w:pPr>
        <w:keepLines/>
        <w:keepNext/>
        <w:spacing w:before="240" w:after="60"/>
        <w:rPr>
          <w:rFonts w:eastAsia="Calibri"/>
          <w:b/>
          <w:color w:val="auto"/>
          <w:sz w:val="24"/>
          <w:szCs w:val="24"/>
          <w:highlight w:val="white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708" w:equalWidth="1"/>
          <w:docGrid w:linePitch="360"/>
          <w:titlePg/>
        </w:sectPr>
        <w:outlineLvl w:val="0"/>
      </w:pPr>
      <w:r>
        <w:rPr>
          <w:color w:val="auto"/>
          <w:highlight w:val="white"/>
        </w:rPr>
      </w:r>
      <w:bookmarkStart w:id="30" w:name="_Toc50125131"/>
      <w:r>
        <w:rPr>
          <w:rFonts w:eastAsia="Calibri"/>
          <w:b/>
          <w:color w:val="auto"/>
          <w:sz w:val="24"/>
          <w:szCs w:val="24"/>
          <w:highlight w:val="white"/>
        </w:rPr>
      </w:r>
      <w:r>
        <w:rPr>
          <w:rFonts w:eastAsia="Calibri"/>
          <w:b/>
          <w:color w:val="auto"/>
          <w:sz w:val="24"/>
          <w:szCs w:val="24"/>
          <w:highlight w:val="white"/>
        </w:rPr>
      </w:r>
    </w:p>
    <w:p>
      <w:pPr>
        <w:pStyle w:val="756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31" w:name="_Toc51339698"/>
      <w:r>
        <w:rPr>
          <w:color w:val="auto"/>
          <w:highlight w:val="white"/>
        </w:rPr>
      </w:r>
      <w:bookmarkStart w:id="32" w:name="_Toc54646410"/>
      <w:r>
        <w:rPr>
          <w:color w:val="auto"/>
          <w:highlight w:val="white"/>
        </w:rPr>
        <w:t xml:space="preserve">Требования к качеству продукции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753"/>
        <w:numPr>
          <w:ilvl w:val="0"/>
          <w:numId w:val="0"/>
        </w:numPr>
        <w:rPr>
          <w:color w:val="auto"/>
          <w:highlight w:val="white"/>
        </w:rPr>
      </w:pPr>
      <w:r>
        <w:rPr>
          <w:color w:val="auto"/>
          <w:highlight w:val="white"/>
        </w:rPr>
        <w:t xml:space="preserve">Таблица 4. Требования к </w:t>
      </w:r>
      <w:bookmarkEnd w:id="30"/>
      <w:r>
        <w:rPr>
          <w:color w:val="auto"/>
          <w:highlight w:val="white"/>
        </w:rPr>
      </w:r>
      <w:bookmarkEnd w:id="31"/>
      <w:r>
        <w:rPr>
          <w:color w:val="auto"/>
          <w:highlight w:val="white"/>
        </w:rPr>
        <w:t xml:space="preserve">качеству </w:t>
      </w:r>
      <w:bookmarkEnd w:id="32"/>
      <w:r>
        <w:rPr>
          <w:color w:val="auto"/>
          <w:highlight w:val="white"/>
        </w:rPr>
        <w:t xml:space="preserve">продукции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spacing w:after="120"/>
        <w:rPr>
          <w:rStyle w:val="995"/>
          <w:b w:val="0"/>
          <w:color w:val="auto"/>
          <w:sz w:val="24"/>
          <w:szCs w:val="24"/>
          <w:highlight w:val="white"/>
        </w:rPr>
      </w:pPr>
      <w:r>
        <w:rPr>
          <w:b w:val="0"/>
          <w:color w:val="auto"/>
          <w:sz w:val="24"/>
          <w:szCs w:val="24"/>
          <w:highlight w:val="white"/>
        </w:rPr>
      </w:r>
      <w:r>
        <w:rPr>
          <w:rStyle w:val="995"/>
          <w:b w:val="0"/>
          <w:color w:val="auto"/>
          <w:sz w:val="24"/>
          <w:szCs w:val="24"/>
          <w:highlight w:val="white"/>
        </w:rPr>
      </w:r>
      <w:r>
        <w:rPr>
          <w:rStyle w:val="995"/>
          <w:b w:val="0"/>
          <w:color w:val="auto"/>
          <w:sz w:val="24"/>
          <w:szCs w:val="24"/>
          <w:highlight w:val="white"/>
        </w:rPr>
      </w:r>
    </w:p>
    <w:p>
      <w:pPr>
        <w:spacing w:after="120"/>
        <w:rPr>
          <w:b/>
          <w:bCs/>
          <w:iCs/>
          <w:color w:val="auto"/>
          <w:sz w:val="24"/>
          <w:szCs w:val="24"/>
          <w:highlight w:val="white"/>
        </w:rPr>
      </w:pPr>
      <w:r>
        <w:rPr>
          <w:b/>
          <w:bCs/>
          <w:color w:val="auto"/>
          <w:sz w:val="24"/>
          <w:szCs w:val="24"/>
          <w:highlight w:val="white"/>
        </w:rPr>
        <w:t xml:space="preserve">Наименование работ: </w:t>
      </w:r>
      <w:r>
        <w:rPr>
          <w:b/>
          <w:bCs/>
          <w:color w:val="auto"/>
          <w:sz w:val="24"/>
          <w:szCs w:val="24"/>
          <w:highlight w:val="white"/>
        </w:rPr>
        <w:t xml:space="preserve">ст</w:t>
      </w:r>
      <w:r>
        <w:rPr>
          <w:b/>
          <w:bCs/>
          <w:color w:val="auto"/>
          <w:sz w:val="24"/>
          <w:szCs w:val="24"/>
          <w:highlight w:val="white"/>
        </w:rPr>
        <w:t xml:space="preserve">роительно-монтажные работы (включая поставку материалов и оборудования) по техперевооружению комплекса инженерно-технических средств физической защиты СП Комсомольская ТЭЦ-3, водогрейная котельная Дземги в рамках инвестиционного проекта F_505-ХГ-25, г. Ком</w:t>
      </w:r>
      <w:r>
        <w:rPr>
          <w:b/>
          <w:bCs/>
          <w:color w:val="auto"/>
          <w:sz w:val="24"/>
          <w:szCs w:val="24"/>
          <w:highlight w:val="white"/>
        </w:rPr>
        <w:t xml:space="preserve">сомольск-на Амуре</w:t>
      </w:r>
      <w:r>
        <w:rPr>
          <w:b/>
          <w:bCs/>
          <w:iCs/>
          <w:color w:val="auto"/>
          <w:sz w:val="24"/>
          <w:szCs w:val="24"/>
          <w:highlight w:val="white"/>
        </w:rPr>
      </w:r>
      <w:r>
        <w:rPr>
          <w:b/>
          <w:bCs/>
          <w:iCs/>
          <w:color w:val="auto"/>
          <w:sz w:val="24"/>
          <w:szCs w:val="24"/>
          <w:highlight w:val="white"/>
        </w:rPr>
      </w:r>
    </w:p>
    <w:tbl>
      <w:tblPr>
        <w:tblStyle w:val="921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74"/>
        <w:gridCol w:w="2291"/>
        <w:gridCol w:w="2026"/>
        <w:gridCol w:w="2835"/>
        <w:gridCol w:w="3178"/>
        <w:gridCol w:w="3622"/>
      </w:tblGrid>
      <w:tr>
        <w:tblPrEx/>
        <w:trPr/>
        <w:tc>
          <w:tcPr>
            <w:tcW w:w="107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№ п/п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229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Наименование параметра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8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Требование заказчика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680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9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486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62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1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229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86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4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62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5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0"/>
                <w:numId w:val="8"/>
              </w:numPr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выполнению работ 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622" w:type="dxa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b/>
                <w:bCs/>
                <w:color w:val="auto"/>
                <w:highlight w:val="white"/>
              </w:rPr>
            </w:pPr>
            <w:r>
              <w:rPr>
                <w:b/>
                <w:bCs/>
                <w:color w:val="auto"/>
                <w:highlight w:val="white"/>
              </w:rPr>
            </w:r>
            <w:r>
              <w:rPr>
                <w:b/>
                <w:bCs/>
                <w:color w:val="auto"/>
                <w:highlight w:val="white"/>
              </w:rPr>
            </w:r>
            <w:r>
              <w:rPr>
                <w:b/>
                <w:bCs/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закупке.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shd w:val="clear" w:color="auto" w:fill="auto"/>
            <w:tcW w:w="7152" w:type="dxa"/>
            <w:textDirection w:val="lrTb"/>
            <w:noWrap w:val="false"/>
          </w:tcPr>
          <w:p>
            <w:pPr>
              <w:rPr>
                <w:color w:val="auto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ри выполнении строительно-монтажных работ необходимо  руководствоваться следующим перечнем документации:- Федерального  закона  от 22.07.2008 № 123-ФЗ «Технический регламент о требованиях пожарной безопасности» в последней редакции, РД 153-34.0-49.101-2003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 и иных нормативно-технических документов.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rPr>
                <w:color w:val="auto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- № 384-ФЗ от 30.12.2009 «Технический регламент о безопасности зданий и сооружений»;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rPr>
                <w:color w:val="auto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- ГОСТ 12.1.004-91 «Система стандартов безопасности труда. Пожарная безопасность. Общие требования»;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rPr>
                <w:color w:val="auto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-  № 7-ФЗ от 10.01.2002 «Об охране окружающей среды»;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rPr>
                <w:color w:val="auto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-  № 136-ФЗ от 25.10.2001 «Земельный кодекс Российской Федерации»;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rPr>
                <w:color w:val="auto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- ГОСТ Р 51164-98 «Трубопроводы стальные магистральные. Общие требования по защите от коррозии»;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rPr>
                <w:color w:val="auto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- ГОСТ 27751-2014 «Надежность строительных конструкций и оснований. Основные положения»;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rPr>
                <w:color w:val="auto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- СП 14.13330.2014 «СНиП II-7-81* Строительство в сейсмических районах»;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rPr>
                <w:color w:val="auto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- № 99-ФЗ от 04.05.2011 «О лицензировании отдельных видов деятельности»;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rPr>
                <w:color w:val="auto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- СНиП 12-03-2001. «Безопасность труда в строительстве. Часть 1. Общие требования»;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rPr>
                <w:color w:val="auto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- СНиП 12-04-2002. «Безопасность труда в строительстве. Часть 2. Строительное производство»;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rPr>
                <w:color w:val="auto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- № 116-ФЗ от 21 июля 1997 "О промышленной безопасности опасных производственных объектов" (с изм. и доп., вступ. в силу с 01.09.2025);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rPr>
                <w:color w:val="auto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- CП 48.13330.2019. Свод правил «Организация строительства»;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rPr>
                <w:color w:val="auto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- CП 28.13330.2021. Свод правил «Защита строительных конструкций от коррозии»;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rPr>
                <w:color w:val="auto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- ГОСТ 31565-2012 «Кабельные изделия. Требования пожарной безопасности»;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rPr>
                <w:color w:val="auto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-  ГОСТ 9.401-2018 «Единая система защиты от коррозии и старения. Покрытия лакокрасочные. Общие требования и методы ускоренных испытаний на стойкость к воздействию климатических факторов»;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rPr>
                <w:color w:val="auto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- Федеральный закон от 21.07.2011г. ФЗ-256 "О безопасности объектов ТЭК" в актуальной редакции;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- Постановлением Правительства РФ от 03.08.2024 №1046 «Об утверждении Требований обеспечения безопасности и антитеррористической защищенности объектов топливно-энергетического комплекса».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622" w:type="dxa"/>
            <w:vMerge w:val="restart"/>
            <w:textDirection w:val="lrTb"/>
            <w:noWrap w:val="false"/>
          </w:tcPr>
          <w:p>
            <w:pPr>
              <w:pStyle w:val="989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  <w:lang w:val="en-US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Перечень строительно-монтажных и пусконаладочных работ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В соответствии с Ведомостью объемов работ (Приложение № 5 к настоящим ТТ).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89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применяемым при выполнении работ оборудованию, материалам, технологиям, программно-аппаратным средствам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М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атериалы и оборудование, приобретаемые в целях реализации данного проекта, должны соответствовать Ведомости материалов и оборудования подрядчика (Приложение № 6 к настоящим ТТ)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, иметь необходимые сертификаты (соответствия, качества и т.д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.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), разрешение на применение на территории РФ, соответствовать ГОСТам и подлежат согласованию с Заказчиком. Копии сертификатов должны быть представлены Заказчику за 5 (пять) рабочих дней до начала выполнения Работ по Договору. Стоимость материалов при соста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влении актов выполненных работ по форме КС-2 должна подтверждаться накладными и счетами-фактурами, которые предоставляются Заказчику вместе с актами выполненных работ.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ind w:firstLine="317"/>
              <w:jc w:val="both"/>
              <w:tabs>
                <w:tab w:val="left" w:pos="5279" w:leader="none"/>
              </w:tabs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Все материалы и оборудование, применимые при выполнении работ, должны соответствовать ПД и РД либо эквивалент (Эквивалентная продукция – это продукция, которая по техническим и функциональным характеристикам не уступает характеристикам, заявленным в докум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нтации о закупке, в том числе, по гарантийным срокам и срокам эксплуатации.), быть согласованы с Заказчиком, иметь необходимые сертификаты (соответствия, качества и т.д.), соответствовать ГОСТам. Участник должен принять во внимание, что ссылка на марку (ти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) продукции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, указанной в Технических требованиях и структуре НМЦ, носит описательный, а не обязательный характер. В случае если в Технических Требованиях и/или приложениях к ним указаны конкретные производители, торговые марки, фирменные наименования, модели или исто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чник происхождения материалов и продукции, Подрядчик, определенный в соответствии с результатами закупочной процедуры, на этапе исполнения договора может предложить эквивалентную продукцию, характеристики которой не хуже предусмотренных в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Технических Требованиях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</w:p>
          <w:p>
            <w:pPr>
              <w:ind w:firstLine="317"/>
              <w:jc w:val="both"/>
              <w:tabs>
                <w:tab w:val="left" w:pos="5279" w:leader="none"/>
              </w:tabs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ри этом, Подрядчик должен предоставить Заказчику исчерпывающую информацию об эквивалентной продукции, а предлагаемые замены не должны оказывать влияние на безопасность объекта и обеспечивать выполнение требований проектной и рабочей документации (ведомости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объемов работ).</w:t>
            </w:r>
            <w:r>
              <w:rPr>
                <w:rFonts w:ascii="Times New Roman" w:hAnsi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</w:p>
          <w:p>
            <w:pPr>
              <w:ind w:firstLine="283"/>
              <w:jc w:val="both"/>
              <w:rPr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В случае, если применение Подрядчиком эквивалентных материалов будет согласовано Заказчиком и потребует внесения изменений в проектную/рабочую документацию, такие изменения также производятся за счет Подрядчика.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ри приобретении материалов и оборудования руководствоваться Постановлением Правительства РФ от 23.12.2024г. № 1875 «О мерах по предоставлению национального режима при осуществлении закупок товаров, работ, услуг для обеспечения государственных и муниципальн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ых нужд, закупок товаров, работ, услуг отдельными видами юридических лиц».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color w:val="auto"/>
                <w:highlight w:val="white"/>
              </w:rPr>
              <w:t xml:space="preserve">–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контролю качества работ и материалов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Контроль качества поступающих материалов осуществляется в соответствии с пунктом 2.3.12. Договора.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89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  <w:p>
            <w:pPr>
              <w:pStyle w:val="989"/>
              <w:jc w:val="left"/>
              <w:keepNext w:val="0"/>
              <w:rPr>
                <w:rFonts w:eastAsia="Times New Roman"/>
                <w:b w:val="0"/>
                <w:bCs/>
                <w:color w:val="auto"/>
                <w:highlight w:val="white"/>
              </w:rPr>
              <w:outlineLvl w:val="2"/>
            </w:pPr>
            <w:r>
              <w:rPr>
                <w:rFonts w:eastAsia="Times New Roman"/>
                <w:b w:val="0"/>
                <w:bCs/>
                <w:color w:val="auto"/>
                <w:highlight w:val="white"/>
              </w:rPr>
            </w:r>
            <w:r>
              <w:rPr>
                <w:rFonts w:eastAsia="Times New Roman"/>
                <w:b w:val="0"/>
                <w:bCs/>
                <w:color w:val="auto"/>
                <w:highlight w:val="white"/>
              </w:rPr>
            </w:r>
            <w:r>
              <w:rPr>
                <w:rFonts w:eastAsia="Times New Roman"/>
                <w:b w:val="0"/>
                <w:bCs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rPr>
                <w:color w:val="auto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персоналу подрядчика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Персонал подрядной организации, на производственной площадке Заказчика, должен иметь документ, подтверждающий о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бучение и аттестацию по промышленной безопасности, документ подтверждающий право работ на высоте, со специальными подъемными механизмами, документ подтверждающий прохождения обучения по охране труда, пожарной и промышленной безопасности, удостоверения по п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роверке знаний ТБ. До начала работ пройти вводный инструктаж в СПБиОТ и первичный инструктаж в производственном подразделении. Персонал обязан соблюдать правила внутреннего трудового распорядка и производственной дисциплины так же как и персонал СП КТЭЦ-3.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Персонал Подрядчика должен иметь допуск к работе выданный медицинской комиссией.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Персонал Подрядчика должен иметь фирменную спецодежду и средства индивидуальной защиты.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  <w:p>
            <w:pPr>
              <w:ind w:firstLine="283"/>
              <w:jc w:val="both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Персонал Подрядчика</w:t>
            </w:r>
            <w:r>
              <w:rPr>
                <w:bCs/>
                <w:color w:val="auto"/>
                <w:sz w:val="24"/>
                <w:szCs w:val="24"/>
                <w:highlight w:val="white"/>
              </w:rPr>
              <w:t xml:space="preserve"> должен пройти соответствующую подготовку, иметь квалификацию, опыт и компетенцию, позволяющие обеспечить надлежащее и качественное выполнение Работ. 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89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>
          <w:trHeight w:val="396"/>
        </w:trPr>
        <w:tc>
          <w:tcPr>
            <w:tcW w:w="1074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vMerge w:val="restart"/>
            <w:textDirection w:val="lrTb"/>
            <w:noWrap w:val="false"/>
          </w:tcPr>
          <w:p>
            <w:pPr>
              <w:spacing w:before="60"/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Требования к организации выполнения Работ: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. Руководство Работами осуществляется инженерно-техническим работником, аттестованным по правилам техники безопасности, пожарной безопасности.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Заказчик назначает на объекте своего представителя, который от имени Заказчика осуществляет технический надзор и контроль за качеством выполняемых работ, а также п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роизводит проверку соответствия материалов и оборудования, используемых Подрядчиком, условиям договора подряда и проектной документации, строительным нормам и правилам, стандартам,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сертификатам,техническим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 условиям и другим нормативно-методическим документ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ам Российской Федерации, оформляет акты на выполненные работы.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Все оборудование, используемое для проведения работ, должно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 быть исправным, прошедшим испытания и поверку. Подключение переносного электрического оборудования (электроинструмент и т.п.), необходимого для проведения работ,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Подрядчик проводит в установленном порядке. Самовольное подключение вышеуказанного оборудован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ия запрещается. Выполнять работы необходимо обученными аттестованными специалистами.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3. В процессе выполнени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я работ  предусмотреть мероприятия, исключающие загрязнение прилегающей территории строительными отходами. Не допускается сжигание на территории Заказчика и прилегающей территории строительных отходов.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4. Выполнение Работ не должно препятствовать или соз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давать неудобства в работе СП «Комсомольская ТЭЦ-3» и ВК «Дземги».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5. До начала выполнения работ, Заказчику предоставляется список сотрудников привлеченных к выполнению работ на Объекте, с указанием фамилии, имени и отчества, года рождения и паспортных данных, места регистрации, в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случае привлечения иностранных граждан, разрешение на работу.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В соответствии с п. 2 Перечня работ непосредственно связанных с обеспечением безопас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ности объектов ТЭК, утвержденного Приказом Минэнерго РФ № 587 от 13.12.2011, постановлением Правительства РФ от 09.11.2022г. №2011 Подрядчик обязан предоставить на всех сотрудников, привлеченных к выполнению работ по Договору справки, из компетентных орган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ов, об отс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утствии судимости и (или) факта уголовного преследования либо о его прекращении, декларацию и согласие на обработку персональных данных, справки о том, что работник не состоит на учете в учреждениях органов здравоохранения по поводу психического заболевани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я, алкоголизма и наркомании. в случае не предоставления перечисленных документов доступ на территорию производственных площадок СП «Комсомольская ТЭЦ-3» и ВК «Дземги» не предоставляется.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6. Уборка и вывоз строительного мусора осуществляется силами Подрядчика, место установки контейнера и график вывоза согласовывается с Заказчиком.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7. По окончании работ, в течение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 3-х дней, произвести уборку строительного мусора и элементов разборки с места производства работ.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безопасности работ и охране труда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pStyle w:val="964"/>
              <w:ind w:left="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  <w:t xml:space="preserve">В соответствии с пунктом 2.3.14 Договора и Приложением № 3 к настоящим ТТ.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Подрядчик ответственен за соблюдение правил пожарной безопасности, правил по технике безопасности при проведении работ, за качественное и своевременное выполнение работ. Выявленные замечания устраняются за счет Подрядчика. На местах выполнения работ П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одрядчик обязан иметь первичные средства пожаротушения, а на противопожарные цели использовать гидранты.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Ответственность за соблюдением правил пожарной безопасности, охрана труда на объекте возлагается на Подрядчика, который своим приказом должен назн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ачить лицо, ответственное за проведение работ и соблюдение вышеуказанных правил. Копия приказа на ответственного представителя Подрядчика должна быть представлена Заказчику до начала выполнения работ.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При выполнении работ Подрядчик обязан соблюдать тр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ебования действующего законодательства Российской Федерации в области охраны окружающей среды. Подрядчик несет ответственность за нарушение указанных требований.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line="240" w:lineRule="auto"/>
              <w:shd w:val="clear" w:color="ffffff" w:fill="ffffff"/>
              <w:rPr>
                <w:rFonts w:ascii="Times New Roman" w:hAnsi="Times New Roman" w:cs="Times New Roman"/>
                <w:color w:val="auto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Во время производства работ Подрядчик обязан осуществлять на объекте необходимые противоп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ожарные мероприятия, мероприятия по технике безопасности и охране окружающей среды.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spacing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При выполнении работ дополнительно необходимо собл</w:t>
            </w: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 xml:space="preserve">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89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0"/>
                <w:numId w:val="8"/>
              </w:numPr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Требования к результатам работ</w:t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74"/>
        </w:trPr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Основные характеристики объекта строительства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 xml:space="preserve">1.Промышленная площадка СП «Комсомольская ТЭЦ-3»: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 xml:space="preserve">1.1.Здание центральной проходной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Габаритные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размеры в осях – 27.44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*12.30 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Высота помещений – 3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 м.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Количество этажей – 1;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Материал стен – кирпич;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Фундамент – ленточный из фундаментных бетонных блоков;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Кровля – плоская, бесчердачная с утеплением по ж.б. плитам покрытия.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 xml:space="preserve">1.2.Здание проходной № 4: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Габаритные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размеры в осях – 6.25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*3.80 м;</w:t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Высота помещений – 2.5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 м.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Количество этажей – 1;</w:t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Материал стен – кирпич;</w:t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Фундамент – ленточный из фундаментных бетонных блоков;</w:t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 w:themeColor="text1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Кровля – плоская, бесчердачная с утеплением по ж.б. плитам покрытия.</w:t>
            </w:r>
            <w:r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 w:themeColor="text1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 xml:space="preserve">1.3.Н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 xml:space="preserve">астройка комплекса радиооборудования "Волновая сеть"в составе: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Радиостанция-ретранслятор З48У.3 - 7 шт;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Носимая индивидуальная радиостанция З48.У.7  - 6 шт;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Опорный ретранслятор З48.У.9 - 1 шт;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Стационарная радиостанция З48.У.10 - 1 шт;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Система мониторинга и управления радиосетью СМУР-48УВС - 1 шт;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Сервер сбора данных ССД-48УВС - 1 шт;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Комплект АРМ АРМ-48УВС - 1 шт;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Комплект для программирования КП-48УВС - 2 шт;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Аппаратный модуль сопряжения АМС-48УВС - 1 шт.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 xml:space="preserve">2.Промышленная площадка ВК «Дземги»: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 xml:space="preserve">2.1.Система охранного освещения: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Состоит из основного и резервного (аварийного) охранных освещений и обеспечивает: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272" w:right="0" w:firstLin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-достаточные условия освещенности вдоль периметра ограждения наружного, основных и запасных ворот, а так же прилегающей к ним территории. Протяженность периметра - 1150 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-возможность ручного управления работой системы охранного освещения персоналом из здания проходной.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 xml:space="preserve">2.2.Предупредительные знаки: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left="0" w:right="0" w:firstLine="283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Устанавливаются по внутреннему ограждению запретной зоны на расстоянии не более 50 метров друг от друга с использованием имеющихся опор ограждения и обязательно на изгибах (углах) запретной зоны, калитках и воротах в запретные зоны.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89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rPr>
                <w:bCs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white"/>
              </w:rPr>
              <w:t xml:space="preserve">Требования к порядку приемки результатов работ</w:t>
            </w:r>
            <w:r>
              <w:rPr>
                <w:rStyle w:val="995"/>
                <w:b w:val="0"/>
                <w:bCs/>
                <w:i w:val="0"/>
                <w:color w:val="auto"/>
                <w:sz w:val="24"/>
                <w:szCs w:val="24"/>
                <w:highlight w:val="white"/>
                <w:shd w:val="clear" w:color="auto" w:fill="auto"/>
              </w:rPr>
              <w:t xml:space="preserve"> </w:t>
            </w:r>
            <w:r>
              <w:rPr>
                <w:bCs/>
                <w:color w:val="auto"/>
                <w:sz w:val="24"/>
                <w:szCs w:val="24"/>
                <w:highlight w:val="white"/>
              </w:rPr>
            </w:r>
            <w:r>
              <w:rPr>
                <w:bCs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В соответствии с разделом 4 Договора.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89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оформлению документации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В соответствии с разделом 4 Договора, Приложениями №№ 11, 12 к Договору, Приложением № 2 к настоящим ТТ.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89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0"/>
                <w:numId w:val="8"/>
              </w:numPr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ответственности и гарантиям подрядчика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В соответствии с разделами № 7, 8 Договора.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89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0"/>
                <w:numId w:val="8"/>
              </w:numPr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keepNext/>
              <w:spacing w:before="60" w:after="6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2"/>
                <w:numId w:val="8"/>
              </w:numPr>
              <w:ind w:hanging="1199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textDirection w:val="lrTb"/>
            <w:noWrap w:val="false"/>
          </w:tcPr>
          <w:p>
            <w:pPr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В соответствии с пунктом 2.3., 2.4. Договора.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89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>
          <w:trHeight w:val="434"/>
        </w:trPr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0"/>
                <w:numId w:val="8"/>
              </w:numPr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Особые условия Заказчика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b/>
                <w:color w:val="auto"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  <w:r>
              <w:rPr>
                <w:b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textDirection w:val="lrTb"/>
            <w:noWrap w:val="false"/>
          </w:tcPr>
          <w:p>
            <w:pPr>
              <w:pStyle w:val="964"/>
              <w:numPr>
                <w:ilvl w:val="1"/>
                <w:numId w:val="8"/>
              </w:numPr>
              <w:ind w:left="-117" w:firstLine="142"/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textDirection w:val="lrTb"/>
            <w:noWrap w:val="false"/>
          </w:tcPr>
          <w:p>
            <w:pPr>
              <w:ind w:firstLine="317"/>
              <w:jc w:val="both"/>
              <w:tabs>
                <w:tab w:val="left" w:pos="5279" w:leader="none"/>
              </w:tabs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На этапе заключения Договора Подрядчик предоставляет на согласование Заказчику График выполнения и финансирования работ.</w:t>
            </w:r>
            <w:r>
              <w:rPr>
                <w:rFonts w:ascii="Times New Roman" w:hAnsi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</w:p>
          <w:p>
            <w:pPr>
              <w:ind w:firstLine="317"/>
              <w:jc w:val="both"/>
              <w:tabs>
                <w:tab w:val="left" w:pos="5279" w:leader="none"/>
              </w:tabs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После окончания работ в сроки, предусмотренные Договором, Подрядчик представляет Исполнительную документацию в объёме и форме определённой Заказчиком в Приложении № 11 к Договору и разделе № 4 Договора.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firstLine="317"/>
              <w:jc w:val="both"/>
              <w:tabs>
                <w:tab w:val="left" w:pos="5279" w:leader="none"/>
              </w:tabs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- Заказчик в части своей компетенции предоставляет необходимые данные для выполнения работ по запросу Подрядчика в согласованные сроки. </w:t>
            </w:r>
            <w:r>
              <w:rPr>
                <w:rFonts w:ascii="Times New Roman" w:hAnsi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</w:p>
          <w:p>
            <w:pPr>
              <w:ind w:firstLine="317"/>
              <w:jc w:val="both"/>
              <w:tabs>
                <w:tab w:val="left" w:pos="5279" w:leader="none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- Особые требования Заказчика, неучтенные заданием оговариваются с подрядчиком на технических совещаниях с оформлением протокола.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tcW w:w="317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textDirection w:val="lrTb"/>
            <w:noWrap w:val="false"/>
          </w:tcPr>
          <w:p>
            <w:pPr>
              <w:pStyle w:val="989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  <w:t xml:space="preserve">–</w:t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vMerge w:val="restart"/>
            <w:textDirection w:val="lrTb"/>
            <w:noWrap w:val="false"/>
          </w:tcPr>
          <w:p>
            <w:pPr>
              <w:pStyle w:val="964"/>
              <w:numPr>
                <w:ilvl w:val="0"/>
                <w:numId w:val="8"/>
              </w:numPr>
              <w:jc w:val="center"/>
              <w:spacing w:before="60" w:after="60"/>
              <w:rPr>
                <w:color w:val="auto"/>
                <w:highlight w:val="white"/>
              </w:rPr>
            </w:pP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both"/>
              <w:tabs>
                <w:tab w:val="left" w:pos="5279" w:leader="none"/>
              </w:tabs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 xml:space="preserve">Требования к победителю: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tcW w:w="317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89"/>
              <w:keepNext w:val="0"/>
              <w:rPr>
                <w:b w:val="0"/>
                <w:color w:val="auto"/>
                <w:highlight w:val="white"/>
              </w:rPr>
              <w:outlineLvl w:val="2"/>
            </w:pP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  <w:r>
              <w:rPr>
                <w:b w:val="0"/>
                <w:color w:val="auto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vMerge w:val="restart"/>
            <w:textDirection w:val="lrTb"/>
            <w:noWrap w:val="false"/>
          </w:tcPr>
          <w:p>
            <w:pPr>
              <w:ind w:left="360" w:firstLine="0"/>
              <w:jc w:val="left"/>
              <w:spacing w:before="60" w:after="60"/>
              <w:rPr>
                <w:color w:val="auto"/>
                <w:sz w:val="24"/>
                <w:szCs w:val="24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6.1</w:t>
            </w:r>
            <w:r>
              <w:rPr>
                <w:color w:val="auto"/>
                <w:sz w:val="24"/>
                <w:szCs w:val="24"/>
                <w:highlight w:val="white"/>
              </w:rPr>
            </w:r>
            <w:r>
              <w:rPr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715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both"/>
              <w:tabs>
                <w:tab w:val="left" w:pos="5279" w:leader="none"/>
              </w:tabs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Участник, признанный победителем закупочной процедуры, в течение 5 (пяти) рабочих дней после размещения протокола подведения итогов закупки на сайте </w:t>
            </w:r>
            <w:hyperlink r:id="rId13" w:tooltip="http://www.zakupki.gov.ru" w:history="1">
              <w:r>
                <w:rPr>
                  <w:rStyle w:val="934"/>
                  <w:rFonts w:ascii="Times New Roman" w:hAnsi="Times New Roman" w:eastAsia="Times New Roman" w:cs="Times New Roman"/>
                  <w:b w:val="0"/>
                  <w:bCs w:val="0"/>
                  <w:sz w:val="24"/>
                  <w:szCs w:val="24"/>
                  <w:highlight w:val="none"/>
                </w:rPr>
                <w:t xml:space="preserve">www.zakupki.gov.ru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(до заключения договора), должен предоставить в адрес Заказчика на электронный адрес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hyperlink r:id="rId14" w:tooltip="http://kuzmischeva-iv@dgk.ru" w:history="1">
              <w:r>
                <w:rPr>
                  <w:rStyle w:val="934"/>
                  <w:rFonts w:ascii="Times New Roman" w:hAnsi="Times New Roman" w:eastAsia="Times New Roman" w:cs="Times New Roman"/>
                  <w:b w:val="0"/>
                  <w:bCs w:val="0"/>
                  <w:sz w:val="24"/>
                  <w:szCs w:val="24"/>
                  <w:highlight w:val="none"/>
                </w:rPr>
                <w:t xml:space="preserve">kuzmischeva-iv@dgk.ru</w:t>
              </w:r>
              <w:r>
                <w:rPr>
                  <w:rStyle w:val="934"/>
                  <w:rFonts w:ascii="Times New Roman" w:hAnsi="Times New Roman" w:eastAsia="Times New Roman" w:cs="Times New Roman"/>
                  <w:b w:val="0"/>
                  <w:bCs w:val="0"/>
                  <w:sz w:val="24"/>
                  <w:szCs w:val="24"/>
                  <w:highlight w:val="none"/>
                </w:rPr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дополнительные документы.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</w:p>
          <w:p>
            <w:pPr>
              <w:ind w:firstLine="0"/>
              <w:jc w:val="both"/>
              <w:tabs>
                <w:tab w:val="left" w:pos="5279" w:leader="none"/>
              </w:tabs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В случае непредоставления документов , указанных в пункте 6.2 в установленный срок, в соответствии с условиями Документации о закупке, Победитель призна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tcW w:w="3178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89"/>
              <w:keepNext w:val="0"/>
              <w:rPr>
                <w:b w:val="0"/>
                <w:color w:val="auto"/>
                <w:sz w:val="24"/>
                <w:szCs w:val="24"/>
                <w:highlight w:val="white"/>
              </w:rPr>
              <w:outlineLvl w:val="2"/>
            </w:pPr>
            <w:r>
              <w:rPr>
                <w:b w:val="0"/>
                <w:color w:val="auto"/>
                <w:sz w:val="24"/>
                <w:szCs w:val="24"/>
                <w:highlight w:val="white"/>
              </w:rPr>
            </w:r>
            <w:r>
              <w:rPr>
                <w:b w:val="0"/>
                <w:color w:val="auto"/>
                <w:sz w:val="24"/>
                <w:szCs w:val="24"/>
                <w:highlight w:val="white"/>
              </w:rPr>
            </w:r>
            <w:r>
              <w:rPr>
                <w:b w:val="0"/>
                <w:color w:val="auto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074" w:type="dxa"/>
            <w:vAlign w:val="center"/>
            <w:vMerge w:val="restart"/>
            <w:textDirection w:val="lrTb"/>
            <w:noWrap w:val="false"/>
          </w:tcPr>
          <w:p>
            <w:pPr>
              <w:ind w:left="360" w:firstLine="0"/>
              <w:jc w:val="left"/>
              <w:spacing w:before="60" w:after="60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6.2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31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both"/>
              <w:tabs>
                <w:tab w:val="left" w:pos="5279" w:leader="none"/>
              </w:tabs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Требования к кадровым ресурсам Победителя: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firstLine="0"/>
              <w:jc w:val="both"/>
              <w:tabs>
                <w:tab w:val="left" w:pos="5279" w:leader="none"/>
              </w:tabs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До заключения Договора предоставить Заказчику полный перечень лиц, которые будут проводить работы согласно предмета Договора. В отношении указанного перечня лиц предоставить документы в соответствии с Постановлением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Правительства РФ от 09.11.2022г. №2011 «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б утверждении Правил проверки субъектом топливно-энергетического комплекса сведений, указанных в статье 10 Федерального закона "О безопасности объектов топливно-энергетического комплекса", в отношении физических лиц, выполняющих работу, непосредственно свя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анную с обеспечением безопасности объектов топливно-энергетического комплекса, по трудовым договорам или гражданско-правовым договорам, заключенным с субъектом топливно-энергетического комплекса, и перечня сведений, указанных в статье 10 Федерального закон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№ 256-ФЗ от 21.07.2011г. (редакция от 07.07.2025г.)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"О безопасности объектов топливно-энергетического комплекса", представляемых физическими лицами, выполняющими работу, непосредственно связанную с обеспечением безопасности объектов топливно-энергетического комплекса, по трудовым договорам или гражданско-п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равовым договорам, заключенным с субъектом топливно-энергетического комплекса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».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both"/>
              <w:tabs>
                <w:tab w:val="left" w:pos="5279" w:leader="none"/>
              </w:tabs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 xml:space="preserve">Подтверждается: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</w:p>
          <w:p>
            <w:pPr>
              <w:ind w:firstLine="0"/>
              <w:jc w:val="both"/>
              <w:tabs>
                <w:tab w:val="left" w:pos="5279" w:leader="none"/>
              </w:tabs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Предоставить на всех сотрудников, привлеченных к выполнению работ по Договор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у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справку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о наличии (отсутствии) судимости и (или) факта уголовно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го преследования либо о прекращении уголовного преследования,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де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кларацию и согласие на обработку персональных данных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справку о том, что лицо не состоит на учете в учреждениях органов здравоохранения по поводу психического заболевания, алкоголизма и наркомании.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 В случае не предоставления перечисленных доку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ментов дос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туп на территорию производственных площадок СП «Комсомольская ТЭЦ-3» и ВК «Дземги» не предоставляется.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tcW w:w="3178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989"/>
              <w:keepNext w:val="0"/>
              <w:rPr>
                <w:b w:val="0"/>
                <w:color w:val="auto"/>
                <w:sz w:val="24"/>
                <w:szCs w:val="24"/>
                <w:highlight w:val="white"/>
              </w:rPr>
              <w:outlineLvl w:val="2"/>
            </w:pPr>
            <w:r>
              <w:rPr>
                <w:b w:val="0"/>
                <w:color w:val="auto"/>
                <w:sz w:val="24"/>
                <w:szCs w:val="24"/>
                <w:highlight w:val="white"/>
              </w:rPr>
            </w:r>
            <w:r>
              <w:rPr>
                <w:b w:val="0"/>
                <w:color w:val="auto"/>
                <w:sz w:val="24"/>
                <w:szCs w:val="24"/>
                <w:highlight w:val="white"/>
              </w:rPr>
            </w:r>
            <w:r>
              <w:rPr>
                <w:b w:val="0"/>
                <w:color w:val="auto"/>
                <w:sz w:val="24"/>
                <w:szCs w:val="24"/>
                <w:highlight w:val="white"/>
              </w:rPr>
            </w:r>
          </w:p>
        </w:tc>
      </w:tr>
    </w:tbl>
    <w:p>
      <w:pPr>
        <w:jc w:val="center"/>
        <w:rPr>
          <w:b/>
          <w:i/>
          <w:color w:val="auto"/>
          <w:sz w:val="24"/>
          <w:szCs w:val="24"/>
          <w:highlight w:val="white"/>
        </w:rPr>
      </w:pPr>
      <w:r>
        <w:rPr>
          <w:b/>
          <w:i/>
          <w:color w:val="auto"/>
          <w:sz w:val="24"/>
          <w:szCs w:val="24"/>
          <w:highlight w:val="white"/>
        </w:rPr>
      </w:r>
      <w:r>
        <w:rPr>
          <w:b/>
          <w:i/>
          <w:color w:val="auto"/>
          <w:sz w:val="24"/>
          <w:szCs w:val="24"/>
          <w:highlight w:val="white"/>
        </w:rPr>
      </w:r>
      <w:r>
        <w:rPr>
          <w:b/>
          <w:i/>
          <w:color w:val="auto"/>
          <w:sz w:val="24"/>
          <w:szCs w:val="24"/>
          <w:highlight w:val="white"/>
        </w:rPr>
      </w:r>
    </w:p>
    <w:p>
      <w:pPr>
        <w:jc w:val="center"/>
        <w:rPr>
          <w:b/>
          <w:i/>
          <w:color w:val="auto"/>
          <w:sz w:val="24"/>
          <w:szCs w:val="24"/>
          <w:highlight w:val="white"/>
        </w:rPr>
        <w:sectPr>
          <w:footnotePr/>
          <w:endnotePr/>
          <w:type w:val="nextPage"/>
          <w:pgSz w:w="16838" w:h="11906" w:orient="landscape"/>
          <w:pgMar w:top="851" w:right="567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b/>
          <w:i/>
          <w:color w:val="auto"/>
          <w:sz w:val="24"/>
          <w:szCs w:val="24"/>
          <w:highlight w:val="white"/>
        </w:rPr>
      </w:r>
      <w:r>
        <w:rPr>
          <w:b/>
          <w:i/>
          <w:color w:val="auto"/>
          <w:sz w:val="24"/>
          <w:szCs w:val="24"/>
          <w:highlight w:val="white"/>
        </w:rPr>
      </w:r>
      <w:r>
        <w:rPr>
          <w:b/>
          <w:i/>
          <w:color w:val="auto"/>
          <w:sz w:val="24"/>
          <w:szCs w:val="24"/>
          <w:highlight w:val="white"/>
        </w:rPr>
      </w:r>
    </w:p>
    <w:p>
      <w:pPr>
        <w:pStyle w:val="753"/>
        <w:ind w:left="0" w:firstLine="0"/>
        <w:jc w:val="center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34" w:name="_Toc53393312"/>
      <w:r>
        <w:rPr>
          <w:color w:val="auto"/>
          <w:highlight w:val="white"/>
        </w:rPr>
      </w:r>
      <w:bookmarkStart w:id="35" w:name="_Toc54646411"/>
      <w:r>
        <w:rPr>
          <w:color w:val="auto"/>
          <w:highlight w:val="white"/>
        </w:rPr>
      </w:r>
      <w:bookmarkStart w:id="36" w:name="_Toc46743519"/>
      <w:r>
        <w:rPr>
          <w:color w:val="auto"/>
          <w:highlight w:val="white"/>
        </w:rPr>
      </w:r>
      <w:bookmarkStart w:id="37" w:name="_Toc51339699"/>
      <w:r>
        <w:rPr>
          <w:color w:val="auto"/>
          <w:highlight w:val="white"/>
        </w:rPr>
        <w:t xml:space="preserve">Требования к документации по ценообразованию</w:t>
      </w:r>
      <w:bookmarkEnd w:id="34"/>
      <w:r>
        <w:rPr>
          <w:color w:val="auto"/>
          <w:highlight w:val="white"/>
        </w:rPr>
        <w:t xml:space="preserve"> на этапе закупки</w:t>
      </w:r>
      <w:bookmarkEnd w:id="35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756"/>
        <w:numPr>
          <w:ilvl w:val="0"/>
          <w:numId w:val="0"/>
        </w:numPr>
        <w:ind w:firstLine="709"/>
        <w:jc w:val="both"/>
        <w:spacing w:before="0" w:after="0"/>
        <w:rPr>
          <w:b w:val="0"/>
          <w:bCs w:val="0"/>
          <w:color w:val="auto"/>
          <w:highlight w:val="white"/>
          <w14:ligatures w14:val="none"/>
        </w:rPr>
      </w:pPr>
      <w:r>
        <w:rPr>
          <w:b w:val="0"/>
          <w:bCs w:val="0"/>
          <w:color w:val="auto"/>
          <w:highlight w:val="white"/>
        </w:rP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</w:t>
      </w:r>
      <w:r>
        <w:rPr>
          <w:b w:val="0"/>
          <w:bCs w:val="0"/>
          <w:color w:val="auto"/>
          <w:highlight w:val="white"/>
        </w:rPr>
        <w:t xml:space="preserve">нию), приведенной в Документации о закупке (с указанием понижающего коэффициента. </w:t>
      </w:r>
      <w:r>
        <w:rPr>
          <w:b w:val="0"/>
          <w:bCs w:val="0"/>
          <w:color w:val="auto"/>
          <w:highlight w:val="white"/>
        </w:rPr>
        <w:t xml:space="preserve">Величину</w:t>
      </w:r>
      <w:r>
        <w:rPr>
          <w:b w:val="0"/>
          <w:bCs w:val="0"/>
          <w:color w:val="auto"/>
          <w:highlight w:val="white"/>
        </w:rPr>
        <w:t xml:space="preserve"> данного коэффициента рекомендуется учитывать с округлением до 7 знаков после запятой</w:t>
      </w:r>
      <w:r>
        <w:rPr>
          <w:b w:val="0"/>
          <w:bCs w:val="0"/>
          <w:color w:val="auto"/>
          <w:highlight w:val="white"/>
        </w:rPr>
        <w:t xml:space="preserve">).</w:t>
      </w:r>
      <w:r>
        <w:rPr>
          <w:b w:val="0"/>
          <w:bCs w:val="0"/>
          <w:color w:val="auto"/>
          <w:highlight w:val="white"/>
          <w14:ligatures w14:val="none"/>
        </w:rPr>
      </w:r>
      <w:r>
        <w:rPr>
          <w:b w:val="0"/>
          <w:bCs w:val="0"/>
          <w:color w:val="auto"/>
          <w:highlight w:val="white"/>
          <w14:ligatures w14:val="none"/>
        </w:rPr>
      </w:r>
    </w:p>
    <w:p>
      <w:pPr>
        <w:pStyle w:val="756"/>
        <w:numPr>
          <w:ilvl w:val="0"/>
          <w:numId w:val="0"/>
        </w:numPr>
        <w:ind w:firstLine="709"/>
        <w:jc w:val="both"/>
        <w:spacing w:before="0" w:after="0"/>
        <w:rPr>
          <w:b w:val="0"/>
          <w:i/>
          <w:iCs/>
          <w:color w:val="auto"/>
          <w:highlight w:val="white"/>
        </w:rPr>
      </w:pPr>
      <w:r>
        <w:rPr>
          <w:b w:val="0"/>
          <w:color w:val="auto"/>
          <w:highlight w:val="white"/>
        </w:rPr>
        <w:t xml:space="preserve">Дополнительные документы по ценообразованию (сметная документация) в состав заявки Участника не включаются.</w:t>
      </w:r>
      <w:r>
        <w:rPr>
          <w:b w:val="0"/>
          <w:i/>
          <w:iCs/>
          <w:color w:val="auto"/>
          <w:highlight w:val="white"/>
        </w:rPr>
      </w:r>
      <w:r>
        <w:rPr>
          <w:b w:val="0"/>
          <w:i/>
          <w:iCs/>
          <w:color w:val="auto"/>
          <w:highlight w:val="white"/>
        </w:rPr>
      </w:r>
    </w:p>
    <w:p>
      <w:pPr>
        <w:rPr>
          <w:rFonts w:eastAsia="Calibri"/>
          <w:b/>
          <w:iCs/>
          <w:color w:val="auto"/>
          <w:highlight w:val="white"/>
        </w:rPr>
      </w:pPr>
      <w:r>
        <w:rPr>
          <w:rFonts w:eastAsia="Calibri"/>
          <w:b/>
          <w:iCs/>
          <w:color w:val="auto"/>
          <w:highlight w:val="white"/>
        </w:rPr>
      </w:r>
      <w:r>
        <w:rPr>
          <w:rFonts w:eastAsia="Calibri"/>
          <w:b/>
          <w:iCs/>
          <w:color w:val="auto"/>
          <w:highlight w:val="white"/>
        </w:rPr>
      </w:r>
      <w:r>
        <w:rPr>
          <w:rFonts w:eastAsia="Calibri"/>
          <w:b/>
          <w:iCs/>
          <w:color w:val="auto"/>
          <w:highlight w:val="white"/>
        </w:rPr>
      </w:r>
    </w:p>
    <w:p>
      <w:pPr>
        <w:pStyle w:val="753"/>
        <w:ind w:left="0" w:firstLine="0"/>
        <w:jc w:val="center"/>
        <w:rPr>
          <w:color w:val="auto"/>
          <w:highlight w:val="white"/>
        </w:rPr>
      </w:pPr>
      <w:r>
        <w:rPr>
          <w:color w:val="auto"/>
          <w:highlight w:val="white"/>
        </w:rPr>
      </w:r>
      <w:bookmarkStart w:id="38" w:name="_Toc54646412"/>
      <w:r>
        <w:rPr>
          <w:color w:val="auto"/>
          <w:highlight w:val="white"/>
        </w:rPr>
        <w:t xml:space="preserve">Требования к документации по ценообразованию на этапе заключения (исполнения) договора</w:t>
      </w:r>
      <w:bookmarkEnd w:id="38"/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ind w:firstLine="709"/>
        <w:jc w:val="both"/>
        <w:rPr>
          <w:bCs/>
          <w:i/>
          <w:iCs/>
          <w:color w:val="auto"/>
          <w:sz w:val="24"/>
          <w:szCs w:val="24"/>
          <w:highlight w:val="white"/>
        </w:rPr>
      </w:pPr>
      <w:r>
        <w:rPr>
          <w:bCs/>
          <w:color w:val="auto"/>
          <w:sz w:val="24"/>
          <w:szCs w:val="24"/>
          <w:highlight w:val="white"/>
        </w:rPr>
        <w:t xml:space="preserve">Требования к составлению сметной документации (при заключении договора):</w:t>
      </w:r>
      <w:r>
        <w:rPr>
          <w:bCs/>
          <w:i/>
          <w:iCs/>
          <w:color w:val="auto"/>
          <w:sz w:val="24"/>
          <w:szCs w:val="24"/>
          <w:highlight w:val="white"/>
        </w:rPr>
      </w:r>
      <w:r>
        <w:rPr>
          <w:bCs/>
          <w:i/>
          <w:iCs/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bCs/>
          <w:i/>
          <w:iCs/>
          <w:color w:val="auto"/>
          <w:sz w:val="24"/>
          <w:szCs w:val="24"/>
          <w:highlight w:val="white"/>
        </w:rPr>
      </w:pPr>
      <w:r>
        <w:rPr>
          <w:bCs/>
          <w:color w:val="auto"/>
          <w:sz w:val="24"/>
          <w:szCs w:val="24"/>
          <w:highlight w:val="white"/>
        </w:rPr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 2 к настоящим ТТ, и включается в состав договора с применением</w:t>
      </w:r>
      <w:r>
        <w:rPr>
          <w:bCs/>
          <w:color w:val="auto"/>
          <w:sz w:val="24"/>
          <w:szCs w:val="24"/>
          <w:highlight w:val="white"/>
        </w:rPr>
        <w:t xml:space="preserve">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  <w:r>
        <w:rPr>
          <w:bCs/>
          <w:i/>
          <w:iCs/>
          <w:color w:val="auto"/>
          <w:sz w:val="24"/>
          <w:szCs w:val="24"/>
          <w:highlight w:val="white"/>
        </w:rPr>
      </w:r>
      <w:r>
        <w:rPr>
          <w:bCs/>
          <w:i/>
          <w:iCs/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bCs/>
          <w:i/>
          <w:iCs/>
          <w:color w:val="auto"/>
          <w:sz w:val="24"/>
          <w:szCs w:val="24"/>
          <w:highlight w:val="white"/>
        </w:rPr>
      </w:pPr>
      <w:r>
        <w:rPr>
          <w:bCs/>
          <w:color w:val="auto"/>
          <w:sz w:val="24"/>
          <w:szCs w:val="24"/>
          <w:highlight w:val="white"/>
        </w:rPr>
        <w:t xml:space="preserve">Внесение изменений в сметную документацию заказчика, кроме применения п</w:t>
      </w:r>
      <w:r>
        <w:rPr>
          <w:bCs/>
          <w:color w:val="auto"/>
          <w:sz w:val="24"/>
          <w:szCs w:val="24"/>
          <w:highlight w:val="white"/>
        </w:rPr>
        <w:t xml:space="preserve">онижающего коэффициента не допускается.</w:t>
      </w:r>
      <w:r>
        <w:rPr>
          <w:bCs/>
          <w:i/>
          <w:iCs/>
          <w:color w:val="auto"/>
          <w:sz w:val="24"/>
          <w:szCs w:val="24"/>
          <w:highlight w:val="white"/>
        </w:rPr>
      </w:r>
      <w:r>
        <w:rPr>
          <w:bCs/>
          <w:i/>
          <w:iCs/>
          <w:color w:val="auto"/>
          <w:sz w:val="24"/>
          <w:szCs w:val="24"/>
          <w:highlight w:val="white"/>
        </w:rPr>
      </w:r>
    </w:p>
    <w:p>
      <w:pPr>
        <w:ind w:firstLine="709"/>
        <w:jc w:val="both"/>
        <w:rPr>
          <w:bCs/>
          <w:i/>
          <w:i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сметной документации предусмотрен резерв средств на непредвиденные работы и затраты в разм</w:t>
      </w:r>
      <w:r>
        <w:rPr>
          <w:bCs/>
          <w:color w:val="000000" w:themeColor="text1"/>
          <w:sz w:val="24"/>
          <w:szCs w:val="24"/>
          <w:highlight w:val="white"/>
        </w:rPr>
        <w:t xml:space="preserve">ере 2</w:t>
      </w:r>
      <w:r>
        <w:rPr>
          <w:bCs/>
          <w:color w:val="000000" w:themeColor="text1"/>
          <w:sz w:val="24"/>
          <w:szCs w:val="24"/>
          <w:highlight w:val="white"/>
        </w:rPr>
        <w:t xml:space="preserve">,49 </w:t>
      </w:r>
      <w:r>
        <w:rPr>
          <w:bCs/>
          <w:color w:val="000000" w:themeColor="text1"/>
          <w:sz w:val="24"/>
          <w:szCs w:val="24"/>
          <w:highlight w:val="white"/>
        </w:rPr>
        <w:t xml:space="preserve">%.</w:t>
      </w:r>
      <w:r>
        <w:rPr>
          <w:bCs/>
          <w:i/>
          <w:iCs/>
          <w:color w:val="000000" w:themeColor="text1"/>
          <w:sz w:val="24"/>
          <w:szCs w:val="24"/>
          <w:highlight w:val="white"/>
        </w:rPr>
      </w:r>
      <w:r>
        <w:rPr>
          <w:bCs/>
          <w:i/>
          <w:iCs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rPr>
          <w:bCs/>
          <w:i/>
          <w:i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Требования к составлению сметной документации (на этапе исполнения договора):</w:t>
      </w:r>
      <w:r>
        <w:rPr>
          <w:bCs/>
          <w:i/>
          <w:iCs/>
          <w:color w:val="000000" w:themeColor="text1"/>
          <w:sz w:val="24"/>
          <w:szCs w:val="24"/>
          <w:highlight w:val="white"/>
        </w:rPr>
      </w:r>
      <w:r>
        <w:rPr>
          <w:bCs/>
          <w:i/>
          <w:iCs/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rPr>
          <w:color w:val="000000" w:themeColor="text1"/>
          <w:sz w:val="24"/>
          <w:szCs w:val="24"/>
          <w:highlight w:val="none"/>
          <w14:ligatures w14:val="none"/>
        </w:rPr>
      </w:pPr>
      <w:r>
        <w:rPr>
          <w:bCs/>
          <w:color w:val="000000" w:themeColor="text1"/>
          <w:sz w:val="24"/>
          <w:szCs w:val="24"/>
          <w:highlight w:val="white"/>
        </w:rPr>
        <w:t xml:space="preserve">В случае возникновения непредвиденных расходов в рамках реализации договора необходимо составлять и</w:t>
      </w:r>
      <w:r>
        <w:rPr>
          <w:bCs/>
          <w:color w:val="000000" w:themeColor="text1"/>
          <w:sz w:val="24"/>
          <w:szCs w:val="24"/>
          <w:highlight w:val="white"/>
        </w:rPr>
        <w:t xml:space="preserve"> оформлять </w:t>
      </w:r>
      <w:bookmarkStart w:id="39" w:name="undefined"/>
      <w:r>
        <w:rPr>
          <w:bCs/>
          <w:color w:val="000000" w:themeColor="text1"/>
          <w:sz w:val="24"/>
          <w:szCs w:val="24"/>
          <w:highlight w:val="white"/>
        </w:rPr>
        <w:t xml:space="preserve">сметную документацию в обоснование данных затрат в соответствии с требованиями, указанными в приложении № 2 к настоящим ТТ, с применением понижающего коэффициента, определенного по результатам конкурентной процедуры</w:t>
      </w:r>
      <w:bookmarkEnd w:id="39"/>
      <w:r>
        <w:rPr>
          <w:bCs/>
          <w:color w:val="000000" w:themeColor="text1"/>
          <w:sz w:val="24"/>
          <w:szCs w:val="24"/>
          <w:highlight w:val="white"/>
        </w:rPr>
        <w:t xml:space="preserve">.</w:t>
      </w:r>
      <w:r>
        <w:rPr>
          <w:bCs/>
          <w:i/>
          <w:iCs/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</w:t>
      </w:r>
      <w:r>
        <w:rPr>
          <w:color w:val="000000" w:themeColor="text1"/>
          <w:sz w:val="24"/>
          <w:szCs w:val="24"/>
          <w:highlight w:val="white"/>
        </w:rPr>
        <w:t xml:space="preserve">.</w:t>
      </w:r>
      <w:r>
        <w:rPr>
          <w:color w:val="000000" w:themeColor="text1"/>
          <w:sz w:val="24"/>
          <w:szCs w:val="24"/>
          <w:highlight w:val="none"/>
          <w14:ligatures w14:val="none"/>
        </w:rPr>
      </w:r>
      <w:r>
        <w:rPr>
          <w:color w:val="000000" w:themeColor="text1"/>
          <w:sz w:val="24"/>
          <w:szCs w:val="24"/>
          <w:highlight w:val="none"/>
          <w14:ligatures w14:val="none"/>
        </w:rPr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  <w:sz w:val="24"/>
          <w:szCs w:val="24"/>
          <w:highlight w:val="none"/>
          <w14:ligatures w14:val="none"/>
        </w:rPr>
        <w:t xml:space="preserve">В сметной документации предусмотрен лимит средств на командировочные расходы в размере 3,74 %. Лими</w:t>
      </w:r>
      <w:r>
        <w:rPr>
          <w:color w:val="000000" w:themeColor="text1"/>
          <w:sz w:val="24"/>
          <w:szCs w:val="24"/>
          <w:highlight w:val="none"/>
          <w14:ligatures w14:val="none"/>
        </w:rPr>
        <w:t xml:space="preserve">ты командировочных расходов принимать в размере не более: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  <w:sz w:val="24"/>
          <w:szCs w:val="24"/>
          <w:highlight w:val="none"/>
          <w14:ligatures w14:val="none"/>
        </w:rPr>
        <w:t xml:space="preserve">суточные – 700 руб./сутки;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9"/>
        <w:jc w:val="both"/>
      </w:pPr>
      <w:r>
        <w:rPr>
          <w:color w:val="auto"/>
          <w:sz w:val="24"/>
          <w:szCs w:val="24"/>
          <w:highlight w:val="none"/>
          <w14:ligatures w14:val="none"/>
        </w:rPr>
        <w:t xml:space="preserve">проживание – 550 руб./сутки;</w:t>
      </w:r>
      <w:r>
        <w:rPr>
          <w:color w:val="auto"/>
          <w:sz w:val="24"/>
          <w:szCs w:val="24"/>
          <w:highlight w:val="none"/>
          <w14:ligatures w14:val="none"/>
        </w:rPr>
      </w:r>
      <w:r/>
    </w:p>
    <w:p>
      <w:pPr>
        <w:ind w:firstLine="709"/>
        <w:jc w:val="both"/>
        <w:rPr>
          <w:color w:val="auto"/>
          <w:sz w:val="24"/>
          <w:szCs w:val="24"/>
          <w:highlight w:val="white"/>
          <w14:ligatures w14:val="none"/>
        </w:rPr>
      </w:pPr>
      <w:r>
        <w:rPr>
          <w:color w:val="auto"/>
          <w:sz w:val="24"/>
          <w:szCs w:val="24"/>
          <w:highlight w:val="none"/>
          <w14:ligatures w14:val="none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color w:val="auto"/>
          <w:sz w:val="24"/>
          <w:szCs w:val="24"/>
          <w:highlight w:val="white"/>
          <w14:ligatures w14:val="none"/>
        </w:rPr>
      </w:r>
      <w:r>
        <w:rPr>
          <w:color w:val="auto"/>
          <w:sz w:val="24"/>
          <w:szCs w:val="24"/>
          <w:highlight w:val="white"/>
          <w14:ligatures w14:val="none"/>
        </w:rPr>
      </w:r>
    </w:p>
    <w:p>
      <w:pPr>
        <w:rPr>
          <w:rFonts w:eastAsia="Calibri"/>
          <w:b/>
          <w:iCs/>
          <w:color w:val="auto"/>
          <w:highlight w:val="white"/>
        </w:rPr>
      </w:pPr>
      <w:r>
        <w:rPr>
          <w:rFonts w:eastAsia="Calibri"/>
          <w:b/>
          <w:iCs/>
          <w:color w:val="auto"/>
          <w:highlight w:val="white"/>
        </w:rPr>
      </w:r>
      <w:r>
        <w:rPr>
          <w:rFonts w:eastAsia="Calibri"/>
          <w:b/>
          <w:iCs/>
          <w:color w:val="auto"/>
          <w:highlight w:val="white"/>
        </w:rPr>
      </w:r>
      <w:r>
        <w:rPr>
          <w:rFonts w:eastAsia="Calibri"/>
          <w:b/>
          <w:iCs/>
          <w:color w:val="auto"/>
          <w:highlight w:val="white"/>
        </w:rPr>
      </w:r>
    </w:p>
    <w:p>
      <w:pPr>
        <w:pStyle w:val="753"/>
        <w:ind w:left="0" w:firstLine="0"/>
        <w:jc w:val="center"/>
        <w:rPr>
          <w:caps/>
          <w:color w:val="auto"/>
          <w:highlight w:val="white"/>
        </w:rPr>
      </w:pPr>
      <w:r>
        <w:rPr>
          <w:color w:val="auto"/>
          <w:highlight w:val="white"/>
        </w:rPr>
      </w:r>
      <w:bookmarkStart w:id="40" w:name="_Toc54646413"/>
      <w:r>
        <w:rPr>
          <w:color w:val="auto"/>
          <w:highlight w:val="white"/>
        </w:rPr>
        <w:t xml:space="preserve">Приложения</w:t>
      </w:r>
      <w:bookmarkEnd w:id="36"/>
      <w:r>
        <w:rPr>
          <w:color w:val="auto"/>
          <w:highlight w:val="white"/>
        </w:rPr>
      </w:r>
      <w:bookmarkEnd w:id="37"/>
      <w:r>
        <w:rPr>
          <w:color w:val="auto"/>
          <w:highlight w:val="white"/>
        </w:rPr>
      </w:r>
      <w:bookmarkEnd w:id="40"/>
      <w:r>
        <w:rPr>
          <w:caps/>
          <w:color w:val="auto"/>
          <w:highlight w:val="white"/>
        </w:rPr>
      </w:r>
      <w:r>
        <w:rPr>
          <w:caps/>
          <w:color w:val="auto"/>
          <w:highlight w:val="white"/>
        </w:rPr>
      </w:r>
    </w:p>
    <w:p>
      <w:pPr>
        <w:rPr>
          <w:color w:val="auto"/>
          <w:highlight w:val="white"/>
        </w:rPr>
      </w:pPr>
      <w:r>
        <w:rPr>
          <w:color w:val="auto"/>
          <w:highlight w:val="white"/>
        </w:rPr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Приложение № 1 Стандарт организации "Формирование сметной документации";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Приложение № 2 Требования к оформлению и составлению документации по ценообразованию;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Приложение № 3 Положение о допуске персонала подрядных организаций к выполнению работ на объектах АО ДГК;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Приложение № 4 Сводный сметный расчет с приложениями;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white"/>
        </w:rPr>
        <w:t xml:space="preserve">Приложение № 5 Ведомость объемов работ;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none"/>
        </w:rPr>
        <w:t xml:space="preserve">Приложение № 6 Ведомость материалов и оборудования подрядчика.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9"/>
      <w:rPr>
        <w:rStyle w:val="931"/>
      </w:rPr>
      <w:framePr w:wrap="around" w:vAnchor="text" w:hAnchor="margin" w:xAlign="center" w:y="1"/>
    </w:pPr>
    <w:r>
      <w:rPr>
        <w:rStyle w:val="931"/>
      </w:rPr>
      <w:fldChar w:fldCharType="begin"/>
    </w:r>
    <w:r>
      <w:rPr>
        <w:rStyle w:val="931"/>
      </w:rPr>
      <w:instrText xml:space="preserve">PAGE  </w:instrText>
    </w:r>
    <w:r>
      <w:rPr>
        <w:rStyle w:val="931"/>
      </w:rPr>
      <w:fldChar w:fldCharType="separate"/>
    </w:r>
    <w:r>
      <w:rPr>
        <w:rStyle w:val="931"/>
      </w:rPr>
      <w:t xml:space="preserve">6</w:t>
    </w:r>
    <w:r>
      <w:rPr>
        <w:rStyle w:val="931"/>
      </w:rPr>
      <w:fldChar w:fldCharType="end"/>
    </w:r>
    <w:r>
      <w:rPr>
        <w:rStyle w:val="931"/>
      </w:rPr>
    </w:r>
    <w:r>
      <w:rPr>
        <w:rStyle w:val="931"/>
      </w:rPr>
    </w:r>
  </w:p>
  <w:p>
    <w:pPr>
      <w:pStyle w:val="919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9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styleLink w:val="988"/>
    <w:lvl w:ilvl="0">
      <w:start w:val="3"/>
      <w:numFmt w:val="decimal"/>
      <w:pStyle w:val="988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6">
    <w:multiLevelType w:val="hybridMultilevel"/>
    <w:lvl w:ilvl="0">
      <w:start w:val="1"/>
      <w:numFmt w:val="decimal"/>
      <w:pStyle w:val="91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12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7">
    <w:multiLevelType w:val="hybridMultilevel"/>
    <w:styleLink w:val="992"/>
    <w:lvl w:ilvl="0">
      <w:start w:val="1"/>
      <w:numFmt w:val="decimal"/>
      <w:pStyle w:val="992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pStyle w:val="753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56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55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decimal"/>
      <w:pStyle w:val="1010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 w:val="0"/>
        <w:bCs w:val="0"/>
        <w:i/>
        <w:iCs w:val="0"/>
        <w:sz w:val="24"/>
        <w:szCs w:val="22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rFonts w:hint="default"/>
        <w:b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98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99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02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00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01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4"/>
      <w:numFmt w:val="bullet"/>
      <w:pStyle w:val="979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80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78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num w:numId="1">
    <w:abstractNumId w:val="6"/>
  </w:num>
  <w:num w:numId="2">
    <w:abstractNumId w:val="17"/>
  </w:num>
  <w:num w:numId="3">
    <w:abstractNumId w:val="2"/>
  </w:num>
  <w:num w:numId="4">
    <w:abstractNumId w:val="8"/>
  </w:num>
  <w:num w:numId="5">
    <w:abstractNumId w:val="7"/>
  </w:num>
  <w:num w:numId="6">
    <w:abstractNumId w:val="15"/>
  </w:num>
  <w:num w:numId="7">
    <w:abstractNumId w:val="13"/>
  </w:num>
  <w:num w:numId="8">
    <w:abstractNumId w:val="4"/>
  </w:num>
  <w:num w:numId="9">
    <w:abstractNumId w:val="16"/>
  </w:num>
  <w:num w:numId="10">
    <w:abstractNumId w:val="10"/>
  </w:num>
  <w:num w:numId="11">
    <w:abstractNumId w:val="18"/>
  </w:num>
  <w:num w:numId="12">
    <w:abstractNumId w:val="12"/>
  </w:num>
  <w:num w:numId="13">
    <w:abstractNumId w:val="11"/>
  </w:num>
  <w:num w:numId="14">
    <w:abstractNumId w:val="8"/>
  </w:num>
  <w:num w:numId="15">
    <w:abstractNumId w:val="8"/>
  </w:num>
  <w:num w:numId="16">
    <w:abstractNumId w:val="8"/>
  </w:num>
  <w:num w:numId="17">
    <w:abstractNumId w:val="5"/>
  </w:num>
  <w:num w:numId="18">
    <w:abstractNumId w:val="1"/>
  </w:num>
  <w:num w:numId="19">
    <w:abstractNumId w:val="14"/>
  </w:num>
  <w:num w:numId="20">
    <w:abstractNumId w:val="9"/>
  </w:num>
  <w:num w:numId="21">
    <w:abstractNumId w:val="0"/>
  </w:num>
  <w:num w:numId="22">
    <w:abstractNumId w:val="3"/>
  </w:num>
  <w:num w:numId="23">
    <w:abstractNumId w:val="19"/>
  </w:num>
  <w:num w:numId="24">
    <w:abstractNumId w:val="20"/>
  </w:num>
  <w:num w:numId="25">
    <w:abstractNumId w:val="21"/>
  </w:num>
  <w:num w:numId="26">
    <w:abstractNumId w:val="2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9">
    <w:name w:val="Title Char"/>
    <w:basedOn w:val="762"/>
    <w:link w:val="774"/>
    <w:uiPriority w:val="10"/>
    <w:rPr>
      <w:sz w:val="48"/>
      <w:szCs w:val="48"/>
    </w:rPr>
  </w:style>
  <w:style w:type="character" w:styleId="750">
    <w:name w:val="Footer Char"/>
    <w:basedOn w:val="762"/>
    <w:link w:val="922"/>
    <w:uiPriority w:val="99"/>
  </w:style>
  <w:style w:type="character" w:styleId="751">
    <w:name w:val="Caption Char"/>
    <w:basedOn w:val="959"/>
    <w:link w:val="922"/>
    <w:uiPriority w:val="99"/>
  </w:style>
  <w:style w:type="paragraph" w:styleId="752" w:default="1">
    <w:name w:val="Normal"/>
    <w:qFormat/>
    <w:rPr>
      <w:sz w:val="28"/>
      <w:szCs w:val="28"/>
    </w:rPr>
  </w:style>
  <w:style w:type="paragraph" w:styleId="753">
    <w:name w:val="Heading 1"/>
    <w:basedOn w:val="755"/>
    <w:next w:val="752"/>
    <w:link w:val="951"/>
    <w:qFormat/>
    <w:pPr>
      <w:numPr>
        <w:ilvl w:val="0"/>
      </w:numPr>
      <w:outlineLvl w:val="0"/>
    </w:pPr>
    <w:rPr>
      <w:sz w:val="28"/>
      <w:szCs w:val="28"/>
    </w:rPr>
  </w:style>
  <w:style w:type="paragraph" w:styleId="754">
    <w:name w:val="Heading 2"/>
    <w:basedOn w:val="756"/>
    <w:next w:val="752"/>
    <w:link w:val="953"/>
    <w:qFormat/>
    <w:pPr>
      <w:outlineLvl w:val="1"/>
    </w:pPr>
  </w:style>
  <w:style w:type="paragraph" w:styleId="755">
    <w:name w:val="Heading 3"/>
    <w:basedOn w:val="752"/>
    <w:next w:val="752"/>
    <w:link w:val="954"/>
    <w:qFormat/>
    <w:pPr>
      <w:numPr>
        <w:ilvl w:val="2"/>
        <w:numId w:val="4"/>
      </w:numPr>
      <w:ind w:left="1276" w:hanging="556"/>
      <w:keepNext/>
      <w:spacing w:before="240" w:after="60"/>
      <w:outlineLvl w:val="2"/>
    </w:pPr>
    <w:rPr>
      <w:rFonts w:eastAsia="Calibri"/>
      <w:b/>
      <w:sz w:val="24"/>
      <w:szCs w:val="24"/>
    </w:rPr>
  </w:style>
  <w:style w:type="paragraph" w:styleId="756">
    <w:name w:val="Heading 4"/>
    <w:basedOn w:val="755"/>
    <w:next w:val="752"/>
    <w:link w:val="955"/>
    <w:qFormat/>
    <w:pPr>
      <w:numPr>
        <w:ilvl w:val="1"/>
      </w:numPr>
      <w:outlineLvl w:val="3"/>
    </w:pPr>
    <w:rPr>
      <w:bCs/>
    </w:rPr>
  </w:style>
  <w:style w:type="paragraph" w:styleId="757">
    <w:name w:val="Heading 5"/>
    <w:basedOn w:val="752"/>
    <w:next w:val="752"/>
    <w:link w:val="956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58">
    <w:name w:val="Heading 6"/>
    <w:basedOn w:val="752"/>
    <w:next w:val="752"/>
    <w:link w:val="948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59">
    <w:name w:val="Heading 7"/>
    <w:basedOn w:val="752"/>
    <w:next w:val="752"/>
    <w:link w:val="949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60">
    <w:name w:val="Heading 8"/>
    <w:basedOn w:val="752"/>
    <w:next w:val="752"/>
    <w:link w:val="950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61">
    <w:name w:val="Heading 9"/>
    <w:basedOn w:val="752"/>
    <w:next w:val="752"/>
    <w:link w:val="95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62" w:default="1">
    <w:name w:val="Default Paragraph Font"/>
    <w:uiPriority w:val="1"/>
    <w:semiHidden/>
    <w:unhideWhenUsed/>
  </w:style>
  <w:style w:type="table" w:styleId="76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4" w:default="1">
    <w:name w:val="No List"/>
    <w:uiPriority w:val="99"/>
    <w:semiHidden/>
    <w:unhideWhenUsed/>
  </w:style>
  <w:style w:type="character" w:styleId="765" w:customStyle="1">
    <w:name w:val="Heading 1 Char"/>
    <w:basedOn w:val="762"/>
    <w:uiPriority w:val="9"/>
    <w:rPr>
      <w:rFonts w:ascii="Arial" w:hAnsi="Arial" w:eastAsia="Arial" w:cs="Arial"/>
      <w:sz w:val="40"/>
      <w:szCs w:val="40"/>
    </w:rPr>
  </w:style>
  <w:style w:type="character" w:styleId="766" w:customStyle="1">
    <w:name w:val="Heading 2 Char"/>
    <w:basedOn w:val="762"/>
    <w:uiPriority w:val="9"/>
    <w:rPr>
      <w:rFonts w:ascii="Arial" w:hAnsi="Arial" w:eastAsia="Arial" w:cs="Arial"/>
      <w:sz w:val="34"/>
    </w:rPr>
  </w:style>
  <w:style w:type="character" w:styleId="767" w:customStyle="1">
    <w:name w:val="Heading 3 Char"/>
    <w:basedOn w:val="762"/>
    <w:uiPriority w:val="9"/>
    <w:rPr>
      <w:rFonts w:ascii="Arial" w:hAnsi="Arial" w:eastAsia="Arial" w:cs="Arial"/>
      <w:sz w:val="30"/>
      <w:szCs w:val="30"/>
    </w:rPr>
  </w:style>
  <w:style w:type="character" w:styleId="768" w:customStyle="1">
    <w:name w:val="Heading 4 Char"/>
    <w:basedOn w:val="762"/>
    <w:uiPriority w:val="9"/>
    <w:rPr>
      <w:rFonts w:ascii="Arial" w:hAnsi="Arial" w:eastAsia="Arial" w:cs="Arial"/>
      <w:b/>
      <w:bCs/>
      <w:sz w:val="26"/>
      <w:szCs w:val="26"/>
    </w:rPr>
  </w:style>
  <w:style w:type="character" w:styleId="769" w:customStyle="1">
    <w:name w:val="Heading 5 Char"/>
    <w:basedOn w:val="762"/>
    <w:uiPriority w:val="9"/>
    <w:rPr>
      <w:rFonts w:ascii="Arial" w:hAnsi="Arial" w:eastAsia="Arial" w:cs="Arial"/>
      <w:b/>
      <w:bCs/>
      <w:sz w:val="24"/>
      <w:szCs w:val="24"/>
    </w:rPr>
  </w:style>
  <w:style w:type="character" w:styleId="770" w:customStyle="1">
    <w:name w:val="Heading 6 Char"/>
    <w:basedOn w:val="762"/>
    <w:uiPriority w:val="9"/>
    <w:rPr>
      <w:rFonts w:ascii="Arial" w:hAnsi="Arial" w:eastAsia="Arial" w:cs="Arial"/>
      <w:b/>
      <w:bCs/>
      <w:sz w:val="22"/>
      <w:szCs w:val="22"/>
    </w:rPr>
  </w:style>
  <w:style w:type="character" w:styleId="771" w:customStyle="1">
    <w:name w:val="Heading 7 Char"/>
    <w:basedOn w:val="7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2" w:customStyle="1">
    <w:name w:val="Heading 8 Char"/>
    <w:basedOn w:val="762"/>
    <w:uiPriority w:val="9"/>
    <w:rPr>
      <w:rFonts w:ascii="Arial" w:hAnsi="Arial" w:eastAsia="Arial" w:cs="Arial"/>
      <w:i/>
      <w:iCs/>
      <w:sz w:val="22"/>
      <w:szCs w:val="22"/>
    </w:rPr>
  </w:style>
  <w:style w:type="character" w:styleId="773" w:customStyle="1">
    <w:name w:val="Heading 9 Char"/>
    <w:basedOn w:val="762"/>
    <w:uiPriority w:val="9"/>
    <w:rPr>
      <w:rFonts w:ascii="Arial" w:hAnsi="Arial" w:eastAsia="Arial" w:cs="Arial"/>
      <w:i/>
      <w:iCs/>
      <w:sz w:val="21"/>
      <w:szCs w:val="21"/>
    </w:rPr>
  </w:style>
  <w:style w:type="paragraph" w:styleId="774">
    <w:name w:val="Title"/>
    <w:basedOn w:val="752"/>
    <w:next w:val="752"/>
    <w:link w:val="7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5" w:customStyle="1">
    <w:name w:val="Заголовок Знак"/>
    <w:basedOn w:val="762"/>
    <w:link w:val="774"/>
    <w:uiPriority w:val="10"/>
    <w:rPr>
      <w:sz w:val="48"/>
      <w:szCs w:val="48"/>
    </w:rPr>
  </w:style>
  <w:style w:type="character" w:styleId="776" w:customStyle="1">
    <w:name w:val="Subtitle Char"/>
    <w:basedOn w:val="762"/>
    <w:uiPriority w:val="11"/>
    <w:rPr>
      <w:sz w:val="24"/>
      <w:szCs w:val="24"/>
    </w:rPr>
  </w:style>
  <w:style w:type="character" w:styleId="777" w:customStyle="1">
    <w:name w:val="Quote Char"/>
    <w:uiPriority w:val="29"/>
    <w:rPr>
      <w:i/>
    </w:rPr>
  </w:style>
  <w:style w:type="character" w:styleId="778" w:customStyle="1">
    <w:name w:val="Intense Quote Char"/>
    <w:uiPriority w:val="30"/>
    <w:rPr>
      <w:i/>
    </w:rPr>
  </w:style>
  <w:style w:type="character" w:styleId="779" w:customStyle="1">
    <w:name w:val="Header Char"/>
    <w:basedOn w:val="762"/>
    <w:uiPriority w:val="99"/>
  </w:style>
  <w:style w:type="character" w:styleId="780" w:customStyle="1">
    <w:name w:val="Нижний колонтитул Знак"/>
    <w:basedOn w:val="762"/>
    <w:link w:val="922"/>
    <w:uiPriority w:val="99"/>
  </w:style>
  <w:style w:type="character" w:styleId="781" w:customStyle="1">
    <w:name w:val="Название объекта Знак"/>
    <w:basedOn w:val="762"/>
    <w:link w:val="959"/>
    <w:uiPriority w:val="35"/>
    <w:rPr>
      <w:b/>
      <w:bCs/>
      <w:color w:val="4472c4" w:themeColor="accent1"/>
      <w:sz w:val="18"/>
      <w:szCs w:val="18"/>
    </w:rPr>
  </w:style>
  <w:style w:type="table" w:styleId="782" w:customStyle="1">
    <w:name w:val="Table Grid Light"/>
    <w:basedOn w:val="76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83">
    <w:name w:val="Plain Table 1"/>
    <w:basedOn w:val="76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4">
    <w:name w:val="Plain Table 2"/>
    <w:basedOn w:val="76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5">
    <w:name w:val="Plain Table 3"/>
    <w:basedOn w:val="76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6">
    <w:name w:val="Plain Table 4"/>
    <w:basedOn w:val="76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Plain Table 5"/>
    <w:basedOn w:val="76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8">
    <w:name w:val="Grid Table 1 Light"/>
    <w:basedOn w:val="76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1"/>
    <w:basedOn w:val="763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2"/>
    <w:basedOn w:val="763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3"/>
    <w:basedOn w:val="763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4"/>
    <w:basedOn w:val="763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5"/>
    <w:basedOn w:val="763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6"/>
    <w:basedOn w:val="763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2"/>
    <w:basedOn w:val="76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1"/>
    <w:basedOn w:val="763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2"/>
    <w:basedOn w:val="763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3"/>
    <w:basedOn w:val="763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4"/>
    <w:basedOn w:val="763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5"/>
    <w:basedOn w:val="763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6"/>
    <w:basedOn w:val="763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"/>
    <w:basedOn w:val="76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1"/>
    <w:basedOn w:val="763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2"/>
    <w:basedOn w:val="763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3"/>
    <w:basedOn w:val="763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4"/>
    <w:basedOn w:val="763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5"/>
    <w:basedOn w:val="763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6"/>
    <w:basedOn w:val="763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4"/>
    <w:basedOn w:val="76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0" w:customStyle="1">
    <w:name w:val="Grid Table 4 - Accent 1"/>
    <w:basedOn w:val="763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11" w:customStyle="1">
    <w:name w:val="Grid Table 4 - Accent 2"/>
    <w:basedOn w:val="763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12" w:customStyle="1">
    <w:name w:val="Grid Table 4 - Accent 3"/>
    <w:basedOn w:val="763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13" w:customStyle="1">
    <w:name w:val="Grid Table 4 - Accent 4"/>
    <w:basedOn w:val="763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14" w:customStyle="1">
    <w:name w:val="Grid Table 4 - Accent 5"/>
    <w:basedOn w:val="763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15" w:customStyle="1">
    <w:name w:val="Grid Table 4 - Accent 6"/>
    <w:basedOn w:val="763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16">
    <w:name w:val="Grid Table 5 Dark"/>
    <w:basedOn w:val="76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- Accent 1"/>
    <w:basedOn w:val="76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 - Accent 2"/>
    <w:basedOn w:val="76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 - Accent 3"/>
    <w:basedOn w:val="76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- Accent 4"/>
    <w:basedOn w:val="76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5"/>
    <w:basedOn w:val="76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 - Accent 6"/>
    <w:basedOn w:val="76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23">
    <w:name w:val="Grid Table 6 Colorful"/>
    <w:basedOn w:val="76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4" w:customStyle="1">
    <w:name w:val="Grid Table 6 Colorful - Accent 1"/>
    <w:basedOn w:val="763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25" w:customStyle="1">
    <w:name w:val="Grid Table 6 Colorful - Accent 2"/>
    <w:basedOn w:val="763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26" w:customStyle="1">
    <w:name w:val="Grid Table 6 Colorful - Accent 3"/>
    <w:basedOn w:val="763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27" w:customStyle="1">
    <w:name w:val="Grid Table 6 Colorful - Accent 4"/>
    <w:basedOn w:val="763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28" w:customStyle="1">
    <w:name w:val="Grid Table 6 Colorful - Accent 5"/>
    <w:basedOn w:val="763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29" w:customStyle="1">
    <w:name w:val="Grid Table 6 Colorful - Accent 6"/>
    <w:basedOn w:val="763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30">
    <w:name w:val="Grid Table 7 Colorful"/>
    <w:basedOn w:val="76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7 Colorful - Accent 1"/>
    <w:basedOn w:val="763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7 Colorful - Accent 2"/>
    <w:basedOn w:val="763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3"/>
    <w:basedOn w:val="763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4"/>
    <w:basedOn w:val="763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5"/>
    <w:basedOn w:val="763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6"/>
    <w:basedOn w:val="763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"/>
    <w:basedOn w:val="76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1"/>
    <w:basedOn w:val="763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2"/>
    <w:basedOn w:val="763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3"/>
    <w:basedOn w:val="763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4"/>
    <w:basedOn w:val="763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5"/>
    <w:basedOn w:val="763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6"/>
    <w:basedOn w:val="763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2"/>
    <w:basedOn w:val="76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1"/>
    <w:basedOn w:val="763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46" w:customStyle="1">
    <w:name w:val="List Table 2 - Accent 2"/>
    <w:basedOn w:val="763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3"/>
    <w:basedOn w:val="763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4"/>
    <w:basedOn w:val="763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5"/>
    <w:basedOn w:val="763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6"/>
    <w:basedOn w:val="763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51">
    <w:name w:val="List Table 3"/>
    <w:basedOn w:val="76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1"/>
    <w:basedOn w:val="763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2"/>
    <w:basedOn w:val="763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3"/>
    <w:basedOn w:val="763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4"/>
    <w:basedOn w:val="763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5"/>
    <w:basedOn w:val="763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6"/>
    <w:basedOn w:val="763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"/>
    <w:basedOn w:val="76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1"/>
    <w:basedOn w:val="763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2"/>
    <w:basedOn w:val="763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3"/>
    <w:basedOn w:val="763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4"/>
    <w:basedOn w:val="763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5"/>
    <w:basedOn w:val="763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6"/>
    <w:basedOn w:val="763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5 Dark"/>
    <w:basedOn w:val="76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1"/>
    <w:basedOn w:val="763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 w:customStyle="1">
    <w:name w:val="List Table 5 Dark - Accent 2"/>
    <w:basedOn w:val="763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3"/>
    <w:basedOn w:val="763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4"/>
    <w:basedOn w:val="763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5"/>
    <w:basedOn w:val="763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6"/>
    <w:basedOn w:val="763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>
    <w:name w:val="List Table 6 Colorful"/>
    <w:basedOn w:val="76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3" w:customStyle="1">
    <w:name w:val="List Table 6 Colorful - Accent 1"/>
    <w:basedOn w:val="763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74" w:customStyle="1">
    <w:name w:val="List Table 6 Colorful - Accent 2"/>
    <w:basedOn w:val="763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75" w:customStyle="1">
    <w:name w:val="List Table 6 Colorful - Accent 3"/>
    <w:basedOn w:val="763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76" w:customStyle="1">
    <w:name w:val="List Table 6 Colorful - Accent 4"/>
    <w:basedOn w:val="763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77" w:customStyle="1">
    <w:name w:val="List Table 6 Colorful - Accent 5"/>
    <w:basedOn w:val="763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78" w:customStyle="1">
    <w:name w:val="List Table 6 Colorful - Accent 6"/>
    <w:basedOn w:val="763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79">
    <w:name w:val="List Table 7 Colorful"/>
    <w:basedOn w:val="76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7 Colorful - Accent 1"/>
    <w:basedOn w:val="763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7 Colorful - Accent 2"/>
    <w:basedOn w:val="763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3"/>
    <w:basedOn w:val="763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4"/>
    <w:basedOn w:val="763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5"/>
    <w:basedOn w:val="763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6"/>
    <w:basedOn w:val="763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ned - Accent"/>
    <w:basedOn w:val="76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7" w:customStyle="1">
    <w:name w:val="Lined - Accent 1"/>
    <w:basedOn w:val="76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88" w:customStyle="1">
    <w:name w:val="Lined - Accent 2"/>
    <w:basedOn w:val="76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9" w:customStyle="1">
    <w:name w:val="Lined - Accent 3"/>
    <w:basedOn w:val="76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90" w:customStyle="1">
    <w:name w:val="Lined - Accent 4"/>
    <w:basedOn w:val="76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91" w:customStyle="1">
    <w:name w:val="Lined - Accent 5"/>
    <w:basedOn w:val="76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92" w:customStyle="1">
    <w:name w:val="Lined - Accent 6"/>
    <w:basedOn w:val="76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93" w:customStyle="1">
    <w:name w:val="Bordered &amp; Lined - Accent"/>
    <w:basedOn w:val="763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4" w:customStyle="1">
    <w:name w:val="Bordered &amp; Lined - Accent 1"/>
    <w:basedOn w:val="763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95" w:customStyle="1">
    <w:name w:val="Bordered &amp; Lined - Accent 2"/>
    <w:basedOn w:val="763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96" w:customStyle="1">
    <w:name w:val="Bordered &amp; Lined - Accent 3"/>
    <w:basedOn w:val="763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97" w:customStyle="1">
    <w:name w:val="Bordered &amp; Lined - Accent 4"/>
    <w:basedOn w:val="763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98" w:customStyle="1">
    <w:name w:val="Bordered &amp; Lined - Accent 5"/>
    <w:basedOn w:val="763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99" w:customStyle="1">
    <w:name w:val="Bordered &amp; Lined - Accent 6"/>
    <w:basedOn w:val="763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00" w:customStyle="1">
    <w:name w:val="Bordered"/>
    <w:basedOn w:val="763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1" w:customStyle="1">
    <w:name w:val="Bordered - Accent 1"/>
    <w:basedOn w:val="763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02" w:customStyle="1">
    <w:name w:val="Bordered - Accent 2"/>
    <w:basedOn w:val="763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03" w:customStyle="1">
    <w:name w:val="Bordered - Accent 3"/>
    <w:basedOn w:val="763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04" w:customStyle="1">
    <w:name w:val="Bordered - Accent 4"/>
    <w:basedOn w:val="763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05" w:customStyle="1">
    <w:name w:val="Bordered - Accent 5"/>
    <w:basedOn w:val="763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06" w:customStyle="1">
    <w:name w:val="Bordered - Accent 6"/>
    <w:basedOn w:val="763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07" w:customStyle="1">
    <w:name w:val="Footnote Text Char"/>
    <w:uiPriority w:val="99"/>
    <w:rPr>
      <w:sz w:val="18"/>
    </w:rPr>
  </w:style>
  <w:style w:type="character" w:styleId="908" w:customStyle="1">
    <w:name w:val="Endnote Text Char"/>
    <w:uiPriority w:val="99"/>
    <w:rPr>
      <w:sz w:val="20"/>
    </w:rPr>
  </w:style>
  <w:style w:type="paragraph" w:styleId="909">
    <w:name w:val="table of figures"/>
    <w:basedOn w:val="752"/>
    <w:next w:val="752"/>
    <w:uiPriority w:val="99"/>
    <w:unhideWhenUsed/>
  </w:style>
  <w:style w:type="paragraph" w:styleId="910" w:customStyle="1">
    <w:name w:val="Название раздела инструкции"/>
    <w:basedOn w:val="752"/>
    <w:pPr>
      <w:jc w:val="center"/>
    </w:pPr>
    <w:rPr>
      <w:b/>
    </w:rPr>
  </w:style>
  <w:style w:type="paragraph" w:styleId="911" w:customStyle="1">
    <w:name w:val="Раздел положения"/>
    <w:basedOn w:val="752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12" w:customStyle="1">
    <w:name w:val="Подраздел раздела положения"/>
    <w:basedOn w:val="752"/>
    <w:pPr>
      <w:numPr>
        <w:ilvl w:val="1"/>
        <w:numId w:val="1"/>
      </w:numPr>
      <w:jc w:val="both"/>
      <w:spacing w:before="80" w:after="80"/>
    </w:pPr>
  </w:style>
  <w:style w:type="paragraph" w:styleId="913">
    <w:name w:val="footnote text"/>
    <w:basedOn w:val="752"/>
    <w:link w:val="987"/>
    <w:uiPriority w:val="99"/>
    <w:rPr>
      <w:sz w:val="20"/>
      <w:szCs w:val="20"/>
    </w:rPr>
  </w:style>
  <w:style w:type="character" w:styleId="914">
    <w:name w:val="footnote reference"/>
    <w:rPr>
      <w:vertAlign w:val="superscript"/>
    </w:rPr>
  </w:style>
  <w:style w:type="paragraph" w:styleId="915" w:customStyle="1">
    <w:name w:val="Шапка 1"/>
    <w:basedOn w:val="752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16" w:customStyle="1">
    <w:name w:val="Шапка 2"/>
    <w:basedOn w:val="752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17" w:customStyle="1">
    <w:name w:val="Шапка 3"/>
    <w:basedOn w:val="752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18" w:customStyle="1">
    <w:name w:val="Название1"/>
    <w:basedOn w:val="752"/>
    <w:link w:val="960"/>
    <w:uiPriority w:val="10"/>
    <w:qFormat/>
    <w:pPr>
      <w:jc w:val="center"/>
    </w:pPr>
    <w:rPr>
      <w:szCs w:val="20"/>
    </w:rPr>
  </w:style>
  <w:style w:type="paragraph" w:styleId="919">
    <w:name w:val="Header"/>
    <w:basedOn w:val="752"/>
    <w:link w:val="1004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20">
    <w:name w:val="Body Text Indent"/>
    <w:basedOn w:val="752"/>
    <w:pPr>
      <w:ind w:left="360"/>
    </w:pPr>
    <w:rPr>
      <w:sz w:val="24"/>
      <w:szCs w:val="24"/>
    </w:rPr>
  </w:style>
  <w:style w:type="table" w:styleId="921">
    <w:name w:val="Table Grid"/>
    <w:basedOn w:val="763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2">
    <w:name w:val="Footer"/>
    <w:basedOn w:val="752"/>
    <w:link w:val="780"/>
    <w:pPr>
      <w:tabs>
        <w:tab w:val="center" w:pos="4677" w:leader="none"/>
        <w:tab w:val="right" w:pos="9355" w:leader="none"/>
      </w:tabs>
    </w:pPr>
  </w:style>
  <w:style w:type="paragraph" w:styleId="923">
    <w:name w:val="Body Text"/>
    <w:basedOn w:val="752"/>
    <w:link w:val="990"/>
    <w:pPr>
      <w:spacing w:after="120"/>
    </w:pPr>
  </w:style>
  <w:style w:type="paragraph" w:styleId="924">
    <w:name w:val="Body Text Indent 2"/>
    <w:basedOn w:val="752"/>
    <w:pPr>
      <w:ind w:left="283"/>
      <w:spacing w:after="120" w:line="480" w:lineRule="auto"/>
    </w:pPr>
  </w:style>
  <w:style w:type="paragraph" w:styleId="925">
    <w:name w:val="Body Text 3"/>
    <w:basedOn w:val="752"/>
    <w:pPr>
      <w:spacing w:after="120"/>
    </w:pPr>
    <w:rPr>
      <w:sz w:val="16"/>
      <w:szCs w:val="16"/>
    </w:rPr>
  </w:style>
  <w:style w:type="paragraph" w:styleId="926">
    <w:name w:val="Body Text Indent 3"/>
    <w:basedOn w:val="752"/>
    <w:link w:val="1021"/>
    <w:pPr>
      <w:ind w:left="283"/>
      <w:spacing w:after="120"/>
    </w:pPr>
    <w:rPr>
      <w:sz w:val="16"/>
      <w:szCs w:val="16"/>
    </w:rPr>
  </w:style>
  <w:style w:type="paragraph" w:styleId="927">
    <w:name w:val="Body Text 2"/>
    <w:basedOn w:val="752"/>
    <w:pPr>
      <w:spacing w:after="120" w:line="480" w:lineRule="auto"/>
    </w:pPr>
  </w:style>
  <w:style w:type="paragraph" w:styleId="928">
    <w:name w:val="Block Text"/>
    <w:basedOn w:val="752"/>
    <w:pPr>
      <w:ind w:left="-567" w:right="-766"/>
      <w:jc w:val="center"/>
    </w:pPr>
    <w:rPr>
      <w:b/>
      <w:bCs/>
      <w:sz w:val="24"/>
      <w:szCs w:val="20"/>
    </w:rPr>
  </w:style>
  <w:style w:type="paragraph" w:styleId="929" w:customStyle="1">
    <w:name w:val="Подпункт"/>
    <w:basedOn w:val="752"/>
    <w:link w:val="985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30" w:customStyle="1">
    <w:name w:val="Пункт2"/>
    <w:basedOn w:val="752"/>
    <w:link w:val="1011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31">
    <w:name w:val="page number"/>
    <w:basedOn w:val="762"/>
  </w:style>
  <w:style w:type="paragraph" w:styleId="932">
    <w:name w:val="toc 1"/>
    <w:basedOn w:val="752"/>
    <w:next w:val="752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33">
    <w:name w:val="toc 3"/>
    <w:basedOn w:val="752"/>
    <w:next w:val="752"/>
    <w:uiPriority w:val="39"/>
    <w:pPr>
      <w:ind w:left="280"/>
    </w:pPr>
    <w:rPr>
      <w:rFonts w:cstheme="minorHAnsi"/>
      <w:sz w:val="20"/>
      <w:szCs w:val="20"/>
    </w:rPr>
  </w:style>
  <w:style w:type="character" w:styleId="934">
    <w:name w:val="Hyperlink"/>
    <w:uiPriority w:val="99"/>
    <w:rPr>
      <w:color w:val="0000ff"/>
      <w:u w:val="single"/>
    </w:rPr>
  </w:style>
  <w:style w:type="paragraph" w:styleId="935" w:customStyle="1">
    <w:name w:val="Раздел регламента"/>
    <w:basedOn w:val="752"/>
  </w:style>
  <w:style w:type="paragraph" w:styleId="936" w:customStyle="1">
    <w:name w:val="Приложение к регламенту"/>
    <w:basedOn w:val="752"/>
    <w:pPr>
      <w:jc w:val="right"/>
    </w:pPr>
  </w:style>
  <w:style w:type="paragraph" w:styleId="937">
    <w:name w:val="toc 2"/>
    <w:basedOn w:val="752"/>
    <w:next w:val="752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38">
    <w:name w:val="Balloon Text"/>
    <w:basedOn w:val="752"/>
    <w:semiHidden/>
    <w:rPr>
      <w:rFonts w:ascii="Tahoma" w:hAnsi="Tahoma" w:cs="Tahoma"/>
      <w:sz w:val="16"/>
      <w:szCs w:val="16"/>
    </w:rPr>
  </w:style>
  <w:style w:type="character" w:styleId="939">
    <w:name w:val="annotation reference"/>
    <w:uiPriority w:val="99"/>
    <w:semiHidden/>
    <w:rPr>
      <w:sz w:val="16"/>
      <w:szCs w:val="16"/>
    </w:rPr>
  </w:style>
  <w:style w:type="paragraph" w:styleId="940">
    <w:name w:val="annotation text"/>
    <w:basedOn w:val="752"/>
    <w:link w:val="1005"/>
    <w:rPr>
      <w:sz w:val="20"/>
      <w:szCs w:val="20"/>
    </w:rPr>
  </w:style>
  <w:style w:type="paragraph" w:styleId="941">
    <w:name w:val="annotation subject"/>
    <w:basedOn w:val="940"/>
    <w:next w:val="940"/>
    <w:semiHidden/>
    <w:rPr>
      <w:b/>
      <w:bCs/>
    </w:rPr>
  </w:style>
  <w:style w:type="paragraph" w:styleId="942" w:customStyle="1">
    <w:name w:val="Обычный (веб)1"/>
    <w:basedOn w:val="752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43">
    <w:name w:val="toc 9"/>
    <w:basedOn w:val="752"/>
    <w:next w:val="752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44">
    <w:name w:val="toc 5"/>
    <w:basedOn w:val="752"/>
    <w:next w:val="752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45">
    <w:name w:val="toc 4"/>
    <w:basedOn w:val="752"/>
    <w:next w:val="752"/>
    <w:uiPriority w:val="39"/>
    <w:pPr>
      <w:ind w:left="560"/>
    </w:pPr>
    <w:rPr>
      <w:rFonts w:cstheme="minorHAnsi"/>
      <w:sz w:val="20"/>
      <w:szCs w:val="20"/>
    </w:rPr>
  </w:style>
  <w:style w:type="paragraph" w:styleId="946" w:customStyle="1">
    <w:name w:val="Раздел положения 2"/>
    <w:basedOn w:val="752"/>
    <w:pPr>
      <w:jc w:val="both"/>
      <w:pageBreakBefore/>
      <w:outlineLvl w:val="0"/>
    </w:pPr>
    <w:rPr>
      <w:b/>
    </w:rPr>
  </w:style>
  <w:style w:type="character" w:styleId="947">
    <w:name w:val="Strong"/>
    <w:qFormat/>
    <w:rPr>
      <w:b/>
      <w:bCs/>
    </w:rPr>
  </w:style>
  <w:style w:type="character" w:styleId="948" w:customStyle="1">
    <w:name w:val="Заголовок 6 Знак"/>
    <w:link w:val="758"/>
    <w:uiPriority w:val="9"/>
    <w:rPr>
      <w:rFonts w:ascii="Cambria" w:hAnsi="Cambria"/>
      <w:i/>
      <w:iCs/>
      <w:color w:val="243f60"/>
    </w:rPr>
  </w:style>
  <w:style w:type="character" w:styleId="949" w:customStyle="1">
    <w:name w:val="Заголовок 7 Знак"/>
    <w:link w:val="759"/>
    <w:uiPriority w:val="9"/>
    <w:rPr>
      <w:rFonts w:ascii="Cambria" w:hAnsi="Cambria"/>
      <w:i/>
      <w:iCs/>
      <w:color w:val="404040"/>
    </w:rPr>
  </w:style>
  <w:style w:type="character" w:styleId="950" w:customStyle="1">
    <w:name w:val="Заголовок 8 Знак"/>
    <w:link w:val="760"/>
    <w:uiPriority w:val="9"/>
    <w:rPr>
      <w:rFonts w:ascii="Cambria" w:hAnsi="Cambria"/>
      <w:color w:val="4f81bd"/>
    </w:rPr>
  </w:style>
  <w:style w:type="character" w:styleId="951" w:customStyle="1">
    <w:name w:val="Заголовок 1 Знак"/>
    <w:link w:val="753"/>
    <w:rPr>
      <w:rFonts w:eastAsia="Calibri"/>
      <w:b/>
      <w:sz w:val="28"/>
      <w:szCs w:val="28"/>
    </w:rPr>
  </w:style>
  <w:style w:type="paragraph" w:styleId="952" w:customStyle="1">
    <w:name w:val="Знак Знак Знак Знак Знак Знак Знак Знак Знак"/>
    <w:basedOn w:val="752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53" w:customStyle="1">
    <w:name w:val="Заголовок 2 Знак"/>
    <w:link w:val="754"/>
    <w:rPr>
      <w:rFonts w:eastAsia="Calibri"/>
      <w:b/>
      <w:bCs/>
      <w:sz w:val="24"/>
      <w:szCs w:val="24"/>
    </w:rPr>
  </w:style>
  <w:style w:type="character" w:styleId="954" w:customStyle="1">
    <w:name w:val="Заголовок 3 Знак"/>
    <w:link w:val="755"/>
    <w:rPr>
      <w:rFonts w:eastAsia="Calibri"/>
      <w:b/>
      <w:sz w:val="24"/>
      <w:szCs w:val="24"/>
    </w:rPr>
  </w:style>
  <w:style w:type="character" w:styleId="955" w:customStyle="1">
    <w:name w:val="Заголовок 4 Знак"/>
    <w:link w:val="756"/>
    <w:rPr>
      <w:rFonts w:eastAsia="Calibri"/>
      <w:b/>
      <w:bCs/>
      <w:sz w:val="24"/>
      <w:szCs w:val="24"/>
    </w:rPr>
  </w:style>
  <w:style w:type="character" w:styleId="956" w:customStyle="1">
    <w:name w:val="Заголовок 5 Знак"/>
    <w:link w:val="757"/>
    <w:uiPriority w:val="9"/>
    <w:rPr>
      <w:b/>
      <w:bCs/>
      <w:i/>
      <w:iCs/>
      <w:sz w:val="26"/>
      <w:szCs w:val="26"/>
    </w:rPr>
  </w:style>
  <w:style w:type="character" w:styleId="957" w:customStyle="1">
    <w:name w:val="Заголовок 9 Знак"/>
    <w:link w:val="761"/>
    <w:uiPriority w:val="9"/>
    <w:rPr>
      <w:rFonts w:ascii="Arial" w:hAnsi="Arial" w:cs="Arial"/>
      <w:sz w:val="22"/>
      <w:szCs w:val="22"/>
    </w:rPr>
  </w:style>
  <w:style w:type="paragraph" w:styleId="958">
    <w:name w:val="No Spacing"/>
    <w:basedOn w:val="752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59">
    <w:name w:val="Caption"/>
    <w:basedOn w:val="752"/>
    <w:next w:val="752"/>
    <w:link w:val="781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60" w:customStyle="1">
    <w:name w:val="Название Знак"/>
    <w:link w:val="918"/>
    <w:uiPriority w:val="10"/>
    <w:rPr>
      <w:sz w:val="28"/>
    </w:rPr>
  </w:style>
  <w:style w:type="paragraph" w:styleId="961">
    <w:name w:val="Subtitle"/>
    <w:basedOn w:val="752"/>
    <w:next w:val="752"/>
    <w:link w:val="962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62" w:customStyle="1">
    <w:name w:val="Подзаголовок Знак"/>
    <w:link w:val="961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63">
    <w:name w:val="Emphasis"/>
    <w:uiPriority w:val="20"/>
    <w:qFormat/>
    <w:rPr>
      <w:i/>
      <w:iCs/>
    </w:rPr>
  </w:style>
  <w:style w:type="paragraph" w:styleId="964">
    <w:name w:val="List Paragraph"/>
    <w:basedOn w:val="752"/>
    <w:link w:val="994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65">
    <w:name w:val="Quote"/>
    <w:basedOn w:val="752"/>
    <w:next w:val="752"/>
    <w:link w:val="966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66" w:customStyle="1">
    <w:name w:val="Цитата 2 Знак"/>
    <w:link w:val="965"/>
    <w:uiPriority w:val="29"/>
    <w:rPr>
      <w:rFonts w:ascii="Calibri" w:hAnsi="Calibri" w:eastAsia="Calibri"/>
      <w:i/>
      <w:iCs/>
      <w:color w:val="000000"/>
    </w:rPr>
  </w:style>
  <w:style w:type="paragraph" w:styleId="967">
    <w:name w:val="Intense Quote"/>
    <w:basedOn w:val="752"/>
    <w:next w:val="752"/>
    <w:link w:val="968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68" w:customStyle="1">
    <w:name w:val="Выделенная цитата Знак"/>
    <w:link w:val="967"/>
    <w:uiPriority w:val="30"/>
    <w:rPr>
      <w:rFonts w:ascii="Calibri" w:hAnsi="Calibri" w:eastAsia="Calibri"/>
      <w:b/>
      <w:bCs/>
      <w:i/>
      <w:iCs/>
      <w:color w:val="4f81bd"/>
    </w:rPr>
  </w:style>
  <w:style w:type="character" w:styleId="969">
    <w:name w:val="Subtle Emphasis"/>
    <w:uiPriority w:val="19"/>
    <w:qFormat/>
    <w:rPr>
      <w:i/>
      <w:iCs/>
      <w:color w:val="808080"/>
    </w:rPr>
  </w:style>
  <w:style w:type="character" w:styleId="970">
    <w:name w:val="Intense Emphasis"/>
    <w:uiPriority w:val="21"/>
    <w:qFormat/>
    <w:rPr>
      <w:b/>
      <w:bCs/>
      <w:i/>
      <w:iCs/>
      <w:color w:val="4f81bd"/>
    </w:rPr>
  </w:style>
  <w:style w:type="character" w:styleId="971">
    <w:name w:val="Subtle Reference"/>
    <w:uiPriority w:val="31"/>
    <w:qFormat/>
    <w:rPr>
      <w:smallCaps/>
      <w:color w:val="c0504d"/>
      <w:u w:val="single"/>
    </w:rPr>
  </w:style>
  <w:style w:type="character" w:styleId="972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73">
    <w:name w:val="Book Title"/>
    <w:uiPriority w:val="33"/>
    <w:qFormat/>
    <w:rPr>
      <w:b/>
      <w:bCs/>
      <w:smallCaps/>
      <w:spacing w:val="5"/>
    </w:rPr>
  </w:style>
  <w:style w:type="paragraph" w:styleId="974">
    <w:name w:val="TOC Heading"/>
    <w:basedOn w:val="753"/>
    <w:next w:val="752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75">
    <w:name w:val="E-mail Signature"/>
    <w:basedOn w:val="752"/>
    <w:link w:val="976"/>
    <w:uiPriority w:val="99"/>
    <w:unhideWhenUsed/>
    <w:rPr>
      <w:rFonts w:eastAsia="Calibri"/>
      <w:sz w:val="24"/>
      <w:szCs w:val="24"/>
    </w:rPr>
  </w:style>
  <w:style w:type="character" w:styleId="976" w:customStyle="1">
    <w:name w:val="Электронная подпись Знак"/>
    <w:link w:val="975"/>
    <w:uiPriority w:val="99"/>
    <w:rPr>
      <w:rFonts w:eastAsia="Calibri"/>
      <w:sz w:val="24"/>
      <w:szCs w:val="24"/>
    </w:rPr>
  </w:style>
  <w:style w:type="paragraph" w:styleId="977" w:customStyle="1">
    <w:name w:val="Знак"/>
    <w:basedOn w:val="75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8" w:customStyle="1">
    <w:name w:val="Нумерованный список ур3"/>
    <w:basedOn w:val="752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79" w:customStyle="1">
    <w:name w:val="Нумерованный список 1"/>
    <w:basedOn w:val="752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80" w:customStyle="1">
    <w:name w:val="Нумерованный список ур2"/>
    <w:basedOn w:val="752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81">
    <w:name w:val="Revision"/>
    <w:hidden/>
    <w:uiPriority w:val="99"/>
    <w:semiHidden/>
    <w:rPr>
      <w:rFonts w:eastAsia="Calibri"/>
      <w:sz w:val="24"/>
      <w:szCs w:val="24"/>
    </w:rPr>
  </w:style>
  <w:style w:type="paragraph" w:styleId="982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83" w:customStyle="1">
    <w:name w:val="Знак Знак3 Знак Знак"/>
    <w:basedOn w:val="752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84" w:customStyle="1">
    <w:name w:val="Пункт"/>
    <w:basedOn w:val="752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85" w:customStyle="1">
    <w:name w:val="Подпункт Знак1"/>
    <w:link w:val="929"/>
    <w:rPr>
      <w:sz w:val="28"/>
    </w:rPr>
  </w:style>
  <w:style w:type="paragraph" w:styleId="986" w:customStyle="1">
    <w:name w:val="Абзац списка1"/>
    <w:basedOn w:val="752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87" w:customStyle="1">
    <w:name w:val="Текст сноски Знак"/>
    <w:link w:val="913"/>
    <w:uiPriority w:val="99"/>
  </w:style>
  <w:style w:type="numbering" w:styleId="988" w:customStyle="1">
    <w:name w:val="Стиль1"/>
    <w:uiPriority w:val="99"/>
    <w:pPr>
      <w:numPr>
        <w:ilvl w:val="0"/>
        <w:numId w:val="3"/>
      </w:numPr>
    </w:pPr>
  </w:style>
  <w:style w:type="paragraph" w:styleId="989" w:customStyle="1">
    <w:name w:val="Таблица"/>
    <w:basedOn w:val="752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90" w:customStyle="1">
    <w:name w:val="Основной текст Знак"/>
    <w:link w:val="923"/>
    <w:rPr>
      <w:sz w:val="28"/>
      <w:szCs w:val="28"/>
    </w:rPr>
  </w:style>
  <w:style w:type="character" w:styleId="991" w:customStyle="1">
    <w:name w:val="blk"/>
  </w:style>
  <w:style w:type="numbering" w:styleId="992" w:customStyle="1">
    <w:name w:val="Стиль2"/>
    <w:uiPriority w:val="99"/>
    <w:pPr>
      <w:numPr>
        <w:ilvl w:val="0"/>
        <w:numId w:val="5"/>
      </w:numPr>
    </w:pPr>
  </w:style>
  <w:style w:type="paragraph" w:styleId="993" w:customStyle="1">
    <w:name w:val="Таблица шапка"/>
    <w:basedOn w:val="752"/>
    <w:pPr>
      <w:ind w:left="57" w:right="57"/>
      <w:keepNext/>
      <w:spacing w:before="40" w:after="40"/>
    </w:pPr>
    <w:rPr>
      <w:sz w:val="22"/>
      <w:szCs w:val="26"/>
    </w:rPr>
  </w:style>
  <w:style w:type="character" w:styleId="994" w:customStyle="1">
    <w:name w:val="Абзац списка Знак"/>
    <w:link w:val="964"/>
    <w:uiPriority w:val="34"/>
    <w:rPr>
      <w:rFonts w:eastAsia="Calibri"/>
      <w:sz w:val="24"/>
      <w:szCs w:val="24"/>
    </w:rPr>
  </w:style>
  <w:style w:type="character" w:styleId="995" w:customStyle="1">
    <w:name w:val="комментарий"/>
    <w:rPr>
      <w:b/>
      <w:i/>
      <w:shd w:val="clear" w:color="auto" w:fill="ffff99"/>
    </w:rPr>
  </w:style>
  <w:style w:type="paragraph" w:styleId="996" w:customStyle="1">
    <w:name w:val="Подподпункт"/>
    <w:basedOn w:val="929"/>
    <w:link w:val="997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997" w:customStyle="1">
    <w:name w:val="Подподпункт Знак"/>
    <w:link w:val="996"/>
    <w:rPr>
      <w:sz w:val="26"/>
      <w:szCs w:val="26"/>
    </w:rPr>
  </w:style>
  <w:style w:type="paragraph" w:styleId="998" w:customStyle="1">
    <w:name w:val="УРОВЕНЬ_(а)"/>
    <w:basedOn w:val="964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99" w:customStyle="1">
    <w:name w:val="УРОВЕНЬ_-"/>
    <w:basedOn w:val="964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00" w:customStyle="1">
    <w:name w:val="УРОВЕНЬ_Абзац_тип2"/>
    <w:basedOn w:val="964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01" w:customStyle="1">
    <w:name w:val="УРОВЕНЬ_Абзац_тип3"/>
    <w:basedOn w:val="964"/>
    <w:link w:val="1003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02" w:customStyle="1">
    <w:name w:val="УРОВЕНЬ_Подпись"/>
    <w:basedOn w:val="964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03" w:customStyle="1">
    <w:name w:val="УРОВЕНЬ_Абзац_тип3 Знак"/>
    <w:link w:val="1001"/>
    <w:rPr>
      <w:rFonts w:eastAsia="Calibri"/>
      <w:sz w:val="26"/>
      <w:szCs w:val="28"/>
      <w:lang w:eastAsia="en-US"/>
    </w:rPr>
  </w:style>
  <w:style w:type="character" w:styleId="1004" w:customStyle="1">
    <w:name w:val="Верхний колонтитул Знак"/>
    <w:link w:val="919"/>
    <w:uiPriority w:val="99"/>
    <w:rPr>
      <w:sz w:val="24"/>
      <w:szCs w:val="24"/>
    </w:rPr>
  </w:style>
  <w:style w:type="character" w:styleId="1005" w:customStyle="1">
    <w:name w:val="Текст примечания Знак"/>
    <w:link w:val="940"/>
  </w:style>
  <w:style w:type="paragraph" w:styleId="1006" w:customStyle="1">
    <w:name w:val="Стиль Заголовок 1 + по ширине"/>
    <w:basedOn w:val="753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07">
    <w:name w:val="endnote text"/>
    <w:basedOn w:val="752"/>
    <w:link w:val="1008"/>
    <w:rPr>
      <w:sz w:val="20"/>
      <w:szCs w:val="20"/>
    </w:rPr>
  </w:style>
  <w:style w:type="character" w:styleId="1008" w:customStyle="1">
    <w:name w:val="Текст концевой сноски Знак"/>
    <w:basedOn w:val="762"/>
    <w:link w:val="1007"/>
  </w:style>
  <w:style w:type="character" w:styleId="1009">
    <w:name w:val="endnote reference"/>
    <w:basedOn w:val="762"/>
    <w:rPr>
      <w:vertAlign w:val="superscript"/>
    </w:rPr>
  </w:style>
  <w:style w:type="paragraph" w:styleId="1010" w:customStyle="1">
    <w:name w:val="Заголовок 2 КВВ"/>
    <w:basedOn w:val="752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11" w:customStyle="1">
    <w:name w:val="Пункт2 Знак"/>
    <w:link w:val="930"/>
    <w:rPr>
      <w:b/>
      <w:sz w:val="28"/>
    </w:rPr>
  </w:style>
  <w:style w:type="paragraph" w:styleId="1012" w:customStyle="1">
    <w:name w:val="Таблица текст"/>
    <w:basedOn w:val="752"/>
    <w:pPr>
      <w:ind w:left="57" w:right="57"/>
      <w:spacing w:before="40" w:after="40"/>
    </w:pPr>
    <w:rPr>
      <w:sz w:val="24"/>
      <w:szCs w:val="26"/>
    </w:rPr>
  </w:style>
  <w:style w:type="paragraph" w:styleId="1013">
    <w:name w:val="Normal (Web)"/>
    <w:basedOn w:val="752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14" w:customStyle="1">
    <w:name w:val="УРОВЕНЬ_1."/>
    <w:basedOn w:val="964"/>
    <w:link w:val="1015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15" w:customStyle="1">
    <w:name w:val="УРОВЕНЬ_1. Знак"/>
    <w:link w:val="1014"/>
    <w:rPr>
      <w:rFonts w:eastAsia="Calibri"/>
      <w:caps/>
      <w:sz w:val="28"/>
      <w:szCs w:val="28"/>
      <w:lang w:eastAsia="en-US"/>
    </w:rPr>
  </w:style>
  <w:style w:type="table" w:styleId="1016" w:customStyle="1">
    <w:name w:val="Сетка таблицы1"/>
    <w:basedOn w:val="763"/>
    <w:next w:val="921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7">
    <w:name w:val="toc 6"/>
    <w:basedOn w:val="752"/>
    <w:next w:val="752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18">
    <w:name w:val="toc 7"/>
    <w:basedOn w:val="752"/>
    <w:next w:val="752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19">
    <w:name w:val="toc 8"/>
    <w:basedOn w:val="752"/>
    <w:next w:val="752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20" w:customStyle="1">
    <w:name w:val="Неразрешенное упоминание1"/>
    <w:basedOn w:val="762"/>
    <w:uiPriority w:val="99"/>
    <w:semiHidden/>
    <w:unhideWhenUsed/>
    <w:rPr>
      <w:color w:val="605e5c"/>
      <w:shd w:val="clear" w:color="auto" w:fill="e1dfdd"/>
    </w:rPr>
  </w:style>
  <w:style w:type="character" w:styleId="1021" w:customStyle="1">
    <w:name w:val="Основной текст с отступом 3 Знак"/>
    <w:link w:val="926"/>
    <w:rPr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://www.zakupki.gov.ru" TargetMode="External"/><Relationship Id="rId14" Type="http://schemas.openxmlformats.org/officeDocument/2006/relationships/hyperlink" Target="http://kuzmischeva-iv@dgk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78B02-8969-4B2A-8721-E00CBF838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kuzmischeva_iv</cp:lastModifiedBy>
  <cp:revision>22</cp:revision>
  <dcterms:created xsi:type="dcterms:W3CDTF">2025-11-21T11:38:00Z</dcterms:created>
  <dcterms:modified xsi:type="dcterms:W3CDTF">2026-02-27T01:54:23Z</dcterms:modified>
</cp:coreProperties>
</file>